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7255CEE"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83A0D">
        <w:rPr>
          <w:bCs/>
          <w:noProof w:val="0"/>
          <w:sz w:val="24"/>
          <w:szCs w:val="24"/>
        </w:rPr>
        <w:t>17686</w:t>
      </w:r>
    </w:p>
    <w:p w14:paraId="231362B2" w14:textId="7CCC6522" w:rsidR="00CD4C7B" w:rsidRPr="0069266C" w:rsidRDefault="00CB72B8" w:rsidP="00CD4C7B">
      <w:pPr>
        <w:pStyle w:val="Header"/>
        <w:tabs>
          <w:tab w:val="right" w:pos="9639"/>
        </w:tabs>
        <w:rPr>
          <w:bCs/>
          <w:noProof w:val="0"/>
          <w:sz w:val="24"/>
          <w:szCs w:val="24"/>
          <w:lang w:val="de-DE"/>
        </w:rPr>
      </w:pPr>
      <w:r w:rsidRPr="0069266C">
        <w:rPr>
          <w:rFonts w:eastAsia="SimSun"/>
          <w:noProof w:val="0"/>
          <w:sz w:val="24"/>
          <w:szCs w:val="24"/>
          <w:lang w:val="de-DE" w:eastAsia="zh-CN"/>
        </w:rPr>
        <w:t>Spokane, USA</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12</w:t>
      </w:r>
      <w:r w:rsidR="008F396F" w:rsidRPr="0069266C">
        <w:rPr>
          <w:rFonts w:eastAsia="SimSun"/>
          <w:noProof w:val="0"/>
          <w:sz w:val="24"/>
          <w:szCs w:val="24"/>
          <w:lang w:val="de-DE" w:eastAsia="zh-CN"/>
        </w:rPr>
        <w:t xml:space="preserve"> - </w:t>
      </w:r>
      <w:r w:rsidRPr="0069266C">
        <w:rPr>
          <w:rFonts w:eastAsia="SimSun"/>
          <w:noProof w:val="0"/>
          <w:sz w:val="24"/>
          <w:szCs w:val="24"/>
          <w:lang w:val="de-DE" w:eastAsia="zh-CN"/>
        </w:rPr>
        <w:t>16</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November</w:t>
      </w:r>
      <w:r w:rsidR="008F396F" w:rsidRPr="0069266C">
        <w:rPr>
          <w:rFonts w:eastAsia="SimSun"/>
          <w:noProof w:val="0"/>
          <w:sz w:val="24"/>
          <w:szCs w:val="24"/>
          <w:lang w:val="de-DE" w:eastAsia="zh-CN"/>
        </w:rPr>
        <w:t xml:space="preserve"> 2018</w:t>
      </w:r>
      <w:r w:rsidR="00364B41" w:rsidRPr="0069266C">
        <w:rPr>
          <w:rFonts w:eastAsia="SimSun"/>
          <w:noProof w:val="0"/>
          <w:sz w:val="24"/>
          <w:szCs w:val="24"/>
          <w:lang w:val="de-DE" w:eastAsia="zh-CN"/>
        </w:rPr>
        <w:tab/>
      </w:r>
    </w:p>
    <w:p w14:paraId="39BE00F6" w14:textId="77777777" w:rsidR="00CD4C7B" w:rsidRPr="0069266C" w:rsidRDefault="00CD4C7B" w:rsidP="00CD4C7B">
      <w:pPr>
        <w:pStyle w:val="Header"/>
        <w:rPr>
          <w:bCs/>
          <w:noProof w:val="0"/>
          <w:sz w:val="24"/>
          <w:lang w:val="de-DE"/>
        </w:rPr>
      </w:pPr>
    </w:p>
    <w:p w14:paraId="49379CFB" w14:textId="77777777" w:rsidR="00CD4C7B" w:rsidRPr="0069266C" w:rsidRDefault="00CD4C7B" w:rsidP="00CD4C7B">
      <w:pPr>
        <w:pStyle w:val="Header"/>
        <w:rPr>
          <w:bCs/>
          <w:noProof w:val="0"/>
          <w:sz w:val="24"/>
          <w:lang w:val="de-DE"/>
        </w:rPr>
      </w:pPr>
    </w:p>
    <w:p w14:paraId="758E2B30" w14:textId="6AAE2D16" w:rsidR="00CD4C7B" w:rsidRPr="0069266C" w:rsidRDefault="00CD4C7B" w:rsidP="00CD4C7B">
      <w:pPr>
        <w:pStyle w:val="CRCoverPage"/>
        <w:tabs>
          <w:tab w:val="left" w:pos="1985"/>
        </w:tabs>
        <w:rPr>
          <w:rFonts w:cs="Arial"/>
          <w:b/>
          <w:bCs/>
          <w:sz w:val="24"/>
          <w:lang w:val="de-DE" w:eastAsia="ja-JP"/>
        </w:rPr>
      </w:pPr>
      <w:r w:rsidRPr="0069266C">
        <w:rPr>
          <w:rFonts w:cs="Arial"/>
          <w:b/>
          <w:bCs/>
          <w:sz w:val="24"/>
          <w:lang w:val="de-DE"/>
        </w:rPr>
        <w:t>Agenda item:</w:t>
      </w:r>
      <w:r w:rsidRPr="0069266C">
        <w:rPr>
          <w:rFonts w:cs="Arial"/>
          <w:b/>
          <w:bCs/>
          <w:sz w:val="24"/>
          <w:lang w:val="de-DE"/>
        </w:rPr>
        <w:tab/>
      </w:r>
      <w:r w:rsidR="00AD3404">
        <w:rPr>
          <w:rFonts w:cs="Arial"/>
          <w:b/>
          <w:bCs/>
          <w:sz w:val="24"/>
          <w:lang w:val="de-DE" w:eastAsia="ja-JP"/>
        </w:rPr>
        <w:t>12</w:t>
      </w:r>
      <w:r w:rsidR="002747EC" w:rsidRPr="0069266C">
        <w:rPr>
          <w:rFonts w:cs="Arial"/>
          <w:b/>
          <w:bCs/>
          <w:sz w:val="24"/>
          <w:lang w:val="de-DE" w:eastAsia="ja-JP"/>
        </w:rPr>
        <w:t>.</w:t>
      </w:r>
      <w:r w:rsidR="00AD3404">
        <w:rPr>
          <w:rFonts w:cs="Arial"/>
          <w:b/>
          <w:bCs/>
          <w:sz w:val="24"/>
          <w:lang w:val="de-DE" w:eastAsia="ja-JP"/>
        </w:rPr>
        <w:t>3</w:t>
      </w:r>
      <w:r w:rsidR="002747EC" w:rsidRPr="0069266C">
        <w:rPr>
          <w:rFonts w:cs="Arial"/>
          <w:b/>
          <w:bCs/>
          <w:sz w:val="24"/>
          <w:lang w:val="de-DE" w:eastAsia="ja-JP"/>
        </w:rPr>
        <w:t>.</w:t>
      </w:r>
      <w:r w:rsidR="00AD3404">
        <w:rPr>
          <w:rFonts w:cs="Arial"/>
          <w:b/>
          <w:bCs/>
          <w:sz w:val="24"/>
          <w:lang w:val="de-DE"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192B2F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1C81">
        <w:rPr>
          <w:rFonts w:ascii="Arial" w:hAnsi="Arial" w:cs="Arial"/>
          <w:b/>
          <w:bCs/>
          <w:sz w:val="24"/>
        </w:rPr>
        <w:t>Baseline of Conditional Handover</w:t>
      </w:r>
      <w:r w:rsidR="00EF0851">
        <w:rPr>
          <w:rFonts w:ascii="Arial" w:hAnsi="Arial" w:cs="Arial"/>
          <w:b/>
          <w:bCs/>
          <w:sz w:val="24"/>
        </w:rPr>
        <w:t xml:space="preserve"> and its optional enhancements</w:t>
      </w:r>
    </w:p>
    <w:p w14:paraId="3AC3A0B1" w14:textId="43B8F5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3404" w:rsidRPr="00AD3404">
        <w:rPr>
          <w:rFonts w:ascii="Arial" w:hAnsi="Arial" w:cs="Arial"/>
          <w:b/>
          <w:bCs/>
          <w:sz w:val="24"/>
        </w:rPr>
        <w:t>LTE_feMob-Core</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AD340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76B3491" w14:textId="561AF3A8" w:rsidR="000009F3" w:rsidRPr="006E13D1" w:rsidRDefault="000009F3" w:rsidP="00C83A0D">
      <w:pPr>
        <w:jc w:val="both"/>
      </w:pPr>
      <w:r>
        <w:t>I</w:t>
      </w:r>
      <w:r w:rsidR="00C07CF0">
        <w:t>n RAN2#103bis</w:t>
      </w:r>
      <w:r w:rsidR="00484D25">
        <w:t>,</w:t>
      </w:r>
      <w:r w:rsidR="00C07CF0">
        <w:t xml:space="preserve"> </w:t>
      </w:r>
      <w:r>
        <w:t xml:space="preserve">many companies have proposed the conditional handover (CHO) </w:t>
      </w:r>
      <w:r w:rsidR="00896C73">
        <w:fldChar w:fldCharType="begin"/>
      </w:r>
      <w:r w:rsidR="00896C73">
        <w:instrText xml:space="preserve"> REF _Ref527963959 \r \h </w:instrText>
      </w:r>
      <w:r w:rsidR="00D12DFA">
        <w:instrText xml:space="preserve"> \* MERGEFORMAT </w:instrText>
      </w:r>
      <w:r w:rsidR="00896C73">
        <w:fldChar w:fldCharType="separate"/>
      </w:r>
      <w:r w:rsidR="00896C73">
        <w:t>[1]</w:t>
      </w:r>
      <w:r w:rsidR="00896C73">
        <w:fldChar w:fldCharType="end"/>
      </w:r>
      <w:r w:rsidR="00896C73">
        <w:fldChar w:fldCharType="begin"/>
      </w:r>
      <w:r w:rsidR="00896C73">
        <w:instrText xml:space="preserve"> REF _Ref527963962 \r \h </w:instrText>
      </w:r>
      <w:r w:rsidR="00D12DFA">
        <w:instrText xml:space="preserve"> \* MERGEFORMAT </w:instrText>
      </w:r>
      <w:r w:rsidR="00896C73">
        <w:fldChar w:fldCharType="separate"/>
      </w:r>
      <w:r w:rsidR="00896C73">
        <w:t>[2]</w:t>
      </w:r>
      <w:r w:rsidR="00896C73">
        <w:fldChar w:fldCharType="end"/>
      </w:r>
      <w:r w:rsidR="00896C73">
        <w:fldChar w:fldCharType="begin"/>
      </w:r>
      <w:r w:rsidR="00896C73">
        <w:instrText xml:space="preserve"> REF _Ref527963964 \r \h </w:instrText>
      </w:r>
      <w:r w:rsidR="00D12DFA">
        <w:instrText xml:space="preserve"> \* MERGEFORMAT </w:instrText>
      </w:r>
      <w:r w:rsidR="00896C73">
        <w:fldChar w:fldCharType="separate"/>
      </w:r>
      <w:r w:rsidR="00896C73">
        <w:t>[3]</w:t>
      </w:r>
      <w:r w:rsidR="00896C73">
        <w:fldChar w:fldCharType="end"/>
      </w:r>
      <w:r w:rsidR="00896C73">
        <w:fldChar w:fldCharType="begin"/>
      </w:r>
      <w:r w:rsidR="00896C73">
        <w:instrText xml:space="preserve"> REF _Ref527963966 \r \h </w:instrText>
      </w:r>
      <w:r w:rsidR="00D12DFA">
        <w:instrText xml:space="preserve"> \* MERGEFORMAT </w:instrText>
      </w:r>
      <w:r w:rsidR="00896C73">
        <w:fldChar w:fldCharType="separate"/>
      </w:r>
      <w:r w:rsidR="00896C73">
        <w:t>[4]</w:t>
      </w:r>
      <w:r w:rsidR="00896C73">
        <w:fldChar w:fldCharType="end"/>
      </w:r>
      <w:r w:rsidR="00896C73">
        <w:t xml:space="preserve"> </w:t>
      </w:r>
      <w:r>
        <w:t>as a solution candidate for improving mobility robustness</w:t>
      </w:r>
      <w:r w:rsidR="00425B20">
        <w:t xml:space="preserve"> (one of the goals in</w:t>
      </w:r>
      <w:r w:rsidR="00896C73">
        <w:t xml:space="preserve"> work item </w:t>
      </w:r>
      <w:r w:rsidR="00896C73">
        <w:fldChar w:fldCharType="begin"/>
      </w:r>
      <w:r w:rsidR="00896C73">
        <w:instrText xml:space="preserve"> REF _Ref527963922 \r \h </w:instrText>
      </w:r>
      <w:r w:rsidR="00D12DFA">
        <w:instrText xml:space="preserve"> \* MERGEFORMAT </w:instrText>
      </w:r>
      <w:r w:rsidR="00896C73">
        <w:fldChar w:fldCharType="separate"/>
      </w:r>
      <w:r w:rsidR="00896C73">
        <w:t>[5]</w:t>
      </w:r>
      <w:r w:rsidR="00896C73">
        <w:fldChar w:fldCharType="end"/>
      </w:r>
      <w:r w:rsidR="00425B20">
        <w:t>)</w:t>
      </w:r>
      <w:r>
        <w:t>. In this contribution, we split the CHO into subproblems and list solution candidates.</w:t>
      </w:r>
      <w:r w:rsidR="00547874">
        <w:t xml:space="preserve"> We divide those problems into two categories: mandatory </w:t>
      </w:r>
      <w:r w:rsidR="000E7946">
        <w:t xml:space="preserve">CHO </w:t>
      </w:r>
      <w:r w:rsidR="00547874">
        <w:t xml:space="preserve">mechanisms and optional </w:t>
      </w:r>
      <w:r w:rsidR="000E7946">
        <w:t xml:space="preserve">CHO </w:t>
      </w:r>
      <w:r w:rsidR="00547874">
        <w:t>improvements.</w:t>
      </w:r>
    </w:p>
    <w:p w14:paraId="127ACA6D" w14:textId="1A1F77ED" w:rsidR="00CD4C7B" w:rsidRDefault="00CD4C7B" w:rsidP="00CD4C7B">
      <w:pPr>
        <w:pStyle w:val="Heading1"/>
      </w:pPr>
      <w:r w:rsidRPr="006E13D1">
        <w:t>2</w:t>
      </w:r>
      <w:r w:rsidRPr="006E13D1">
        <w:tab/>
      </w:r>
      <w:r w:rsidR="00044400">
        <w:t>Mandatory s</w:t>
      </w:r>
      <w:r w:rsidR="00896C73">
        <w:t>ubproblems</w:t>
      </w:r>
    </w:p>
    <w:p w14:paraId="7DB44C5E" w14:textId="458667EA" w:rsidR="00800543" w:rsidRPr="00044400" w:rsidRDefault="00044400" w:rsidP="00044400">
      <w:r>
        <w:t xml:space="preserve">In this chapter, we discuss the </w:t>
      </w:r>
      <w:r w:rsidR="00175BBD">
        <w:t>aspects</w:t>
      </w:r>
      <w:r>
        <w:t xml:space="preserve"> which definitely have to be </w:t>
      </w:r>
      <w:r w:rsidR="00175BBD">
        <w:t>decided</w:t>
      </w:r>
      <w:r>
        <w:t xml:space="preserve"> for a baseline CHO. </w:t>
      </w:r>
    </w:p>
    <w:p w14:paraId="15EA8BA5" w14:textId="616E3EB0" w:rsidR="00896C73" w:rsidRDefault="00896C73" w:rsidP="00896C73">
      <w:pPr>
        <w:pStyle w:val="Heading2"/>
      </w:pPr>
      <w:r>
        <w:t>2</w:t>
      </w:r>
      <w:r w:rsidRPr="006E13D1">
        <w:t>.1</w:t>
      </w:r>
      <w:r w:rsidRPr="006E13D1">
        <w:tab/>
      </w:r>
      <w:r>
        <w:t>Execution threshold</w:t>
      </w:r>
    </w:p>
    <w:p w14:paraId="5D67CE3C" w14:textId="504D5C24" w:rsidR="00896C73" w:rsidRDefault="005D445E" w:rsidP="00C83A0D">
      <w:pPr>
        <w:jc w:val="both"/>
      </w:pPr>
      <w:r>
        <w:t>The core of the CHO is the fact, that the reception of the handover command will not lead to immediate access to the target</w:t>
      </w:r>
      <w:r w:rsidR="00F779F4">
        <w:t xml:space="preserve"> cell</w:t>
      </w:r>
      <w:r>
        <w:t xml:space="preserve">, but </w:t>
      </w:r>
      <w:r w:rsidR="001C107F">
        <w:t>the</w:t>
      </w:r>
      <w:r w:rsidR="000E7946">
        <w:t xml:space="preserve"> UE will</w:t>
      </w:r>
      <w:r w:rsidR="001C107F">
        <w:t xml:space="preserve"> autonomously initiate the access only when a condition expires. There are several design aspects for this condition:</w:t>
      </w:r>
    </w:p>
    <w:p w14:paraId="68263333" w14:textId="210E3560" w:rsidR="001C107F" w:rsidRDefault="001C107F" w:rsidP="001C107F">
      <w:pPr>
        <w:pStyle w:val="ListParagraph"/>
        <w:numPr>
          <w:ilvl w:val="0"/>
          <w:numId w:val="6"/>
        </w:numPr>
      </w:pPr>
      <w:r w:rsidRPr="00C83A0D">
        <w:rPr>
          <w:u w:val="single"/>
        </w:rPr>
        <w:t>Type of condition</w:t>
      </w:r>
      <w:r>
        <w:t xml:space="preserve">: </w:t>
      </w:r>
      <w:r>
        <w:br/>
      </w:r>
      <w:r w:rsidR="00044400">
        <w:t>shall</w:t>
      </w:r>
      <w:r>
        <w:t xml:space="preserve"> </w:t>
      </w:r>
      <w:r w:rsidR="00044400">
        <w:t>the condition</w:t>
      </w:r>
      <w:r>
        <w:t xml:space="preserve"> be a relative condition (e.g. target is offset better than source cell), or an absolute threshold (e.g. target is better than threshold)?</w:t>
      </w:r>
    </w:p>
    <w:p w14:paraId="04BF8CFF" w14:textId="74C76BC6" w:rsidR="001C107F" w:rsidRDefault="001C107F" w:rsidP="001C107F">
      <w:pPr>
        <w:pStyle w:val="ListParagraph"/>
        <w:numPr>
          <w:ilvl w:val="0"/>
          <w:numId w:val="6"/>
        </w:numPr>
      </w:pPr>
      <w:r w:rsidRPr="00C83A0D">
        <w:rPr>
          <w:u w:val="single"/>
        </w:rPr>
        <w:t>Quantity</w:t>
      </w:r>
      <w:r>
        <w:t>:</w:t>
      </w:r>
      <w:r>
        <w:br/>
        <w:t xml:space="preserve">shall </w:t>
      </w:r>
      <w:r w:rsidR="00044400">
        <w:t>the condition</w:t>
      </w:r>
      <w:r>
        <w:t xml:space="preserve"> be based on RSRP, on RSRQ, or on other measurements?</w:t>
      </w:r>
    </w:p>
    <w:p w14:paraId="70B7EDDB" w14:textId="74095D7F" w:rsidR="001C107F" w:rsidRDefault="001C107F" w:rsidP="001C107F">
      <w:pPr>
        <w:pStyle w:val="ListParagraph"/>
        <w:numPr>
          <w:ilvl w:val="0"/>
          <w:numId w:val="6"/>
        </w:numPr>
      </w:pPr>
      <w:r w:rsidRPr="00C83A0D">
        <w:rPr>
          <w:u w:val="single"/>
        </w:rPr>
        <w:t>Time to trigger</w:t>
      </w:r>
      <w:r>
        <w:t xml:space="preserve">: </w:t>
      </w:r>
      <w:r>
        <w:br/>
        <w:t>shall the condition be subject to a time to trigger (similar to the reporting events)?</w:t>
      </w:r>
    </w:p>
    <w:p w14:paraId="248164EE" w14:textId="7C1B5CD7" w:rsidR="00044400" w:rsidRDefault="00044400" w:rsidP="001C107F">
      <w:pPr>
        <w:pStyle w:val="ListParagraph"/>
        <w:numPr>
          <w:ilvl w:val="0"/>
          <w:numId w:val="6"/>
        </w:numPr>
      </w:pPr>
      <w:r w:rsidRPr="00C83A0D">
        <w:rPr>
          <w:u w:val="single"/>
        </w:rPr>
        <w:t>Responsibility</w:t>
      </w:r>
      <w:r>
        <w:t>:</w:t>
      </w:r>
      <w:r>
        <w:br/>
        <w:t>shall the condition be configured by the target (in</w:t>
      </w:r>
      <w:r w:rsidR="00C83A0D">
        <w:t xml:space="preserve"> HO command)</w:t>
      </w:r>
      <w:r>
        <w:t>, or shall it be configured by the source cell?</w:t>
      </w:r>
    </w:p>
    <w:p w14:paraId="30F7A444" w14:textId="187EA449" w:rsidR="00800543" w:rsidRPr="000C205F" w:rsidRDefault="00044400" w:rsidP="00044400">
      <w:pPr>
        <w:rPr>
          <w:b/>
        </w:rPr>
      </w:pPr>
      <w:r w:rsidRPr="000C205F">
        <w:rPr>
          <w:b/>
        </w:rPr>
        <w:t xml:space="preserve">Proposal 1: </w:t>
      </w:r>
      <w:r w:rsidR="00800543">
        <w:rPr>
          <w:b/>
        </w:rPr>
        <w:t>RAN2 shall discuss the design of the execution threshold</w:t>
      </w:r>
      <w:r w:rsidR="000E7946">
        <w:rPr>
          <w:b/>
        </w:rPr>
        <w:t xml:space="preserve">, considering </w:t>
      </w:r>
      <w:r w:rsidR="005F63B4">
        <w:rPr>
          <w:b/>
        </w:rPr>
        <w:t>the aspects</w:t>
      </w:r>
      <w:r w:rsidR="000E7946">
        <w:rPr>
          <w:b/>
        </w:rPr>
        <w:t xml:space="preserve"> listed above</w:t>
      </w:r>
      <w:r w:rsidR="00800543">
        <w:rPr>
          <w:b/>
        </w:rPr>
        <w:t>.</w:t>
      </w:r>
    </w:p>
    <w:p w14:paraId="4534222E" w14:textId="6A102EE0" w:rsidR="00896C73" w:rsidRDefault="00896C73" w:rsidP="00896C73">
      <w:pPr>
        <w:pStyle w:val="Heading2"/>
      </w:pPr>
      <w:r>
        <w:t>2</w:t>
      </w:r>
      <w:r w:rsidRPr="006E13D1">
        <w:t>.</w:t>
      </w:r>
      <w:r w:rsidR="009A5610">
        <w:t>2</w:t>
      </w:r>
      <w:r w:rsidRPr="006E13D1">
        <w:tab/>
      </w:r>
      <w:r>
        <w:t>Procedure to de</w:t>
      </w:r>
      <w:r w:rsidR="00800543">
        <w:t>-</w:t>
      </w:r>
      <w:r>
        <w:t>configure prepared target cells</w:t>
      </w:r>
    </w:p>
    <w:p w14:paraId="7C100F2E" w14:textId="40C58EE1" w:rsidR="00896C73" w:rsidRDefault="00044400" w:rsidP="00C83A0D">
      <w:pPr>
        <w:jc w:val="both"/>
      </w:pPr>
      <w:r>
        <w:t>A procedure to de</w:t>
      </w:r>
      <w:r w:rsidR="006748DD">
        <w:t>-</w:t>
      </w:r>
      <w:r>
        <w:t xml:space="preserve">configure a prepared target cell is needed for the case </w:t>
      </w:r>
      <w:r w:rsidR="001E142C">
        <w:t>when</w:t>
      </w:r>
      <w:r>
        <w:t xml:space="preserve"> the </w:t>
      </w:r>
      <w:r w:rsidR="001E142C">
        <w:t xml:space="preserve">cell becomes already irrelevant for the UE to access it. </w:t>
      </w:r>
    </w:p>
    <w:p w14:paraId="5D7A52BB" w14:textId="73EC759E" w:rsidR="00044400" w:rsidRPr="000C205F" w:rsidRDefault="00044400" w:rsidP="00896C73">
      <w:pPr>
        <w:rPr>
          <w:b/>
        </w:rPr>
      </w:pPr>
      <w:r w:rsidRPr="000C205F">
        <w:rPr>
          <w:b/>
        </w:rPr>
        <w:t xml:space="preserve">Proposal 2: </w:t>
      </w:r>
      <w:r w:rsidR="000F2D0F">
        <w:rPr>
          <w:b/>
        </w:rPr>
        <w:t>A</w:t>
      </w:r>
      <w:r w:rsidRPr="000C205F">
        <w:rPr>
          <w:b/>
        </w:rPr>
        <w:t xml:space="preserve"> procedure to de</w:t>
      </w:r>
      <w:r w:rsidR="00800543">
        <w:rPr>
          <w:b/>
        </w:rPr>
        <w:t>-</w:t>
      </w:r>
      <w:r w:rsidRPr="000C205F">
        <w:rPr>
          <w:b/>
        </w:rPr>
        <w:t>configure a prepared target cell is needed</w:t>
      </w:r>
      <w:r w:rsidR="001E142C">
        <w:rPr>
          <w:b/>
        </w:rPr>
        <w:t xml:space="preserve"> for CHO</w:t>
      </w:r>
      <w:r w:rsidR="000229AC">
        <w:rPr>
          <w:b/>
        </w:rPr>
        <w:t xml:space="preserve"> procedure</w:t>
      </w:r>
      <w:r w:rsidRPr="000C205F">
        <w:rPr>
          <w:b/>
        </w:rPr>
        <w:t>.</w:t>
      </w:r>
    </w:p>
    <w:p w14:paraId="16F1744B" w14:textId="60080B9B" w:rsidR="009A5610" w:rsidRDefault="009A5610" w:rsidP="00896C73">
      <w:r>
        <w:t>Candidate solutions are:</w:t>
      </w:r>
    </w:p>
    <w:p w14:paraId="2FB212A0" w14:textId="76402561" w:rsidR="009A5610" w:rsidRDefault="000C205F" w:rsidP="009A5610">
      <w:pPr>
        <w:pStyle w:val="ListParagraph"/>
        <w:numPr>
          <w:ilvl w:val="0"/>
          <w:numId w:val="7"/>
        </w:numPr>
      </w:pPr>
      <w:r w:rsidRPr="00C83A0D">
        <w:rPr>
          <w:u w:val="single"/>
        </w:rPr>
        <w:t>UE autonomous / t</w:t>
      </w:r>
      <w:r w:rsidR="009A5610" w:rsidRPr="00C83A0D">
        <w:rPr>
          <w:u w:val="single"/>
        </w:rPr>
        <w:t>imer based</w:t>
      </w:r>
      <w:r w:rsidR="009A5610">
        <w:t>:</w:t>
      </w:r>
      <w:r w:rsidR="009A5610">
        <w:br/>
        <w:t xml:space="preserve">The UE keeps the </w:t>
      </w:r>
      <w:r>
        <w:t xml:space="preserve">configuration until a </w:t>
      </w:r>
      <w:r w:rsidR="009A5610">
        <w:t>timer</w:t>
      </w:r>
      <w:r>
        <w:t xml:space="preserve"> expires</w:t>
      </w:r>
      <w:r w:rsidR="00897F6B">
        <w:t>.</w:t>
      </w:r>
    </w:p>
    <w:p w14:paraId="737F8091" w14:textId="15E6F3B3" w:rsidR="000C205F" w:rsidRDefault="000C205F" w:rsidP="000C205F">
      <w:pPr>
        <w:pStyle w:val="ListParagraph"/>
        <w:numPr>
          <w:ilvl w:val="0"/>
          <w:numId w:val="7"/>
        </w:numPr>
      </w:pPr>
      <w:r w:rsidRPr="00C83A0D">
        <w:rPr>
          <w:u w:val="single"/>
        </w:rPr>
        <w:t>UE autonomous / condition based</w:t>
      </w:r>
      <w:r>
        <w:t>:</w:t>
      </w:r>
      <w:r>
        <w:br/>
        <w:t>The UE keeps the configuration until a condition triggers</w:t>
      </w:r>
      <w:r w:rsidR="00897F6B">
        <w:t>.</w:t>
      </w:r>
    </w:p>
    <w:p w14:paraId="4C8A2D63" w14:textId="71EEA982" w:rsidR="000C205F" w:rsidRDefault="000C205F" w:rsidP="009A5610">
      <w:pPr>
        <w:pStyle w:val="ListParagraph"/>
        <w:numPr>
          <w:ilvl w:val="0"/>
          <w:numId w:val="7"/>
        </w:numPr>
      </w:pPr>
      <w:r w:rsidRPr="00C83A0D">
        <w:rPr>
          <w:u w:val="single"/>
        </w:rPr>
        <w:lastRenderedPageBreak/>
        <w:t>Network controlled</w:t>
      </w:r>
      <w:r>
        <w:t>:</w:t>
      </w:r>
      <w:r>
        <w:br/>
        <w:t>The network (i.e. the source cell) deconfigures the target cell via RRC message, potentially based on appropriate measurement reports by the UE.</w:t>
      </w:r>
    </w:p>
    <w:p w14:paraId="7A5CE9D3" w14:textId="0DB85363" w:rsidR="00800543" w:rsidRPr="000C205F" w:rsidRDefault="000C205F" w:rsidP="000C205F">
      <w:pPr>
        <w:rPr>
          <w:b/>
        </w:rPr>
      </w:pPr>
      <w:r w:rsidRPr="000C205F">
        <w:rPr>
          <w:b/>
        </w:rPr>
        <w:t xml:space="preserve">Proposal </w:t>
      </w:r>
      <w:r>
        <w:rPr>
          <w:b/>
        </w:rPr>
        <w:t>3</w:t>
      </w:r>
      <w:r w:rsidRPr="000C205F">
        <w:rPr>
          <w:b/>
        </w:rPr>
        <w:t xml:space="preserve">: </w:t>
      </w:r>
      <w:r w:rsidR="00800543">
        <w:rPr>
          <w:b/>
        </w:rPr>
        <w:t>RAN2 shall discuss how prepared cells can be de-configured</w:t>
      </w:r>
      <w:r w:rsidR="000229AC">
        <w:rPr>
          <w:b/>
        </w:rPr>
        <w:t xml:space="preserve"> for CHO procedure</w:t>
      </w:r>
      <w:r w:rsidRPr="000C205F">
        <w:rPr>
          <w:b/>
        </w:rPr>
        <w:t>.</w:t>
      </w:r>
    </w:p>
    <w:p w14:paraId="615C7995" w14:textId="135A6709" w:rsidR="007C1BD4" w:rsidRDefault="007C1BD4" w:rsidP="007C1BD4">
      <w:pPr>
        <w:pStyle w:val="Heading2"/>
      </w:pPr>
      <w:r>
        <w:t>2</w:t>
      </w:r>
      <w:r w:rsidRPr="006E13D1">
        <w:t>.</w:t>
      </w:r>
      <w:r w:rsidR="009A5610">
        <w:t>3</w:t>
      </w:r>
      <w:r w:rsidRPr="006E13D1">
        <w:tab/>
      </w:r>
      <w:r>
        <w:t>RRC responsibility</w:t>
      </w:r>
    </w:p>
    <w:p w14:paraId="0DE7CB54" w14:textId="6288F90A" w:rsidR="009A5610" w:rsidRDefault="000C205F" w:rsidP="00C83A0D">
      <w:pPr>
        <w:jc w:val="both"/>
      </w:pPr>
      <w:r>
        <w:t xml:space="preserve">In the legacy handover, the UE </w:t>
      </w:r>
      <w:r w:rsidR="00ED3E0A">
        <w:t xml:space="preserve">releases </w:t>
      </w:r>
      <w:r>
        <w:t xml:space="preserve">the </w:t>
      </w:r>
      <w:r w:rsidR="00E56117">
        <w:t xml:space="preserve">source cell’s </w:t>
      </w:r>
      <w:r>
        <w:t>SRB immediately when receiving the handover command. Hence, the target</w:t>
      </w:r>
      <w:r w:rsidR="00AF5060">
        <w:t xml:space="preserve"> cell</w:t>
      </w:r>
      <w:r>
        <w:t xml:space="preserve"> has the RRC responsibility from this point in time. </w:t>
      </w:r>
    </w:p>
    <w:p w14:paraId="4CB0F51A" w14:textId="6A880928" w:rsidR="000C205F" w:rsidRDefault="000C205F" w:rsidP="00C83A0D">
      <w:pPr>
        <w:jc w:val="both"/>
      </w:pPr>
      <w:r>
        <w:t xml:space="preserve">With CHO, the UE preliminarily remains connected to the source cell, so the source may need to send RRC reconfigurations even after the HO command. On the other hand, the target </w:t>
      </w:r>
      <w:r w:rsidR="006A36E1">
        <w:t xml:space="preserve">cell </w:t>
      </w:r>
      <w:r>
        <w:t xml:space="preserve">has already sent its own RRC reconfiguration to the UE (forwarded to the UE by the source) and thus relies on the UE accessing the target with this configuration. </w:t>
      </w:r>
    </w:p>
    <w:p w14:paraId="403F1DF2" w14:textId="71CE7FD5" w:rsidR="000C205F" w:rsidRDefault="000C205F" w:rsidP="009A5610">
      <w:r>
        <w:t>Solution candidates for this dilemma:</w:t>
      </w:r>
    </w:p>
    <w:p w14:paraId="679B049C" w14:textId="3BC6F0DD" w:rsidR="003D7ED3" w:rsidRDefault="000C205F" w:rsidP="00C83A0D">
      <w:pPr>
        <w:pStyle w:val="ListParagraph"/>
        <w:numPr>
          <w:ilvl w:val="0"/>
          <w:numId w:val="8"/>
        </w:numPr>
        <w:jc w:val="both"/>
      </w:pPr>
      <w:r>
        <w:t xml:space="preserve">We break with the paradigm that target </w:t>
      </w:r>
      <w:r w:rsidR="00C55AEF">
        <w:t xml:space="preserve">cell </w:t>
      </w:r>
      <w:r>
        <w:t>becomes RRC responsible w</w:t>
      </w:r>
      <w:r w:rsidR="00945F95">
        <w:t>hen</w:t>
      </w:r>
      <w:r>
        <w:t xml:space="preserve"> the HO command</w:t>
      </w:r>
      <w:r w:rsidR="00945F95">
        <w:t xml:space="preserve"> is sent</w:t>
      </w:r>
      <w:r>
        <w:t xml:space="preserve">. The source cell will be responsible until the UE accesses the </w:t>
      </w:r>
      <w:r w:rsidR="00945F95">
        <w:t xml:space="preserve">target </w:t>
      </w:r>
      <w:r>
        <w:t>cell. This requires an extension of the RACH procedure to sync</w:t>
      </w:r>
      <w:r w:rsidR="003D7ED3">
        <w:t>/update</w:t>
      </w:r>
      <w:r>
        <w:t xml:space="preserve"> the RRC configuration of the UE.</w:t>
      </w:r>
    </w:p>
    <w:p w14:paraId="1A595A46" w14:textId="5CE5BAB9" w:rsidR="000C205F" w:rsidRDefault="000C205F" w:rsidP="00C83A0D">
      <w:pPr>
        <w:pStyle w:val="ListParagraph"/>
        <w:numPr>
          <w:ilvl w:val="0"/>
          <w:numId w:val="8"/>
        </w:numPr>
        <w:jc w:val="both"/>
      </w:pPr>
      <w:r>
        <w:t>Any reconfiguration by the source</w:t>
      </w:r>
      <w:r w:rsidR="009C232A">
        <w:t xml:space="preserve"> cell</w:t>
      </w:r>
      <w:r>
        <w:t xml:space="preserve"> has to be synced with the target cell before sending it to the UE.</w:t>
      </w:r>
    </w:p>
    <w:p w14:paraId="6483D5BB" w14:textId="1D36B769" w:rsidR="00BF3EC0" w:rsidRDefault="00BF3EC0" w:rsidP="00C83A0D">
      <w:pPr>
        <w:pStyle w:val="ListParagraph"/>
        <w:numPr>
          <w:ilvl w:val="0"/>
          <w:numId w:val="8"/>
        </w:numPr>
        <w:jc w:val="both"/>
      </w:pPr>
      <w:r>
        <w:t xml:space="preserve">After the HO command, the source is only allowed for a limited set of RRC reconfiguration (those which do not collide with the </w:t>
      </w:r>
      <w:r w:rsidR="00945F95">
        <w:t xml:space="preserve">configuration provided by the </w:t>
      </w:r>
      <w:r>
        <w:t>target</w:t>
      </w:r>
      <w:r w:rsidR="00945F95">
        <w:t xml:space="preserve"> cell</w:t>
      </w:r>
      <w:r>
        <w:t>).</w:t>
      </w:r>
    </w:p>
    <w:p w14:paraId="18E0BC23" w14:textId="5A132E44" w:rsidR="00800543" w:rsidRPr="00800543" w:rsidRDefault="00BF3EC0" w:rsidP="009A5610">
      <w:pPr>
        <w:rPr>
          <w:b/>
        </w:rPr>
      </w:pPr>
      <w:r w:rsidRPr="000C205F">
        <w:rPr>
          <w:b/>
        </w:rPr>
        <w:t xml:space="preserve">Proposal </w:t>
      </w:r>
      <w:r>
        <w:rPr>
          <w:b/>
        </w:rPr>
        <w:t>4</w:t>
      </w:r>
      <w:r w:rsidRPr="000C205F">
        <w:rPr>
          <w:b/>
        </w:rPr>
        <w:t xml:space="preserve">: </w:t>
      </w:r>
      <w:r>
        <w:rPr>
          <w:b/>
        </w:rPr>
        <w:t xml:space="preserve">RAN2 shall discuss the RRC responsibility </w:t>
      </w:r>
      <w:r w:rsidR="00945F95">
        <w:rPr>
          <w:b/>
        </w:rPr>
        <w:t>during</w:t>
      </w:r>
      <w:r>
        <w:rPr>
          <w:b/>
        </w:rPr>
        <w:t xml:space="preserve"> CHO</w:t>
      </w:r>
      <w:r w:rsidR="00945F95">
        <w:rPr>
          <w:b/>
        </w:rPr>
        <w:t xml:space="preserve"> procedure</w:t>
      </w:r>
      <w:r w:rsidRPr="000C205F">
        <w:rPr>
          <w:b/>
        </w:rPr>
        <w:t>.</w:t>
      </w:r>
    </w:p>
    <w:p w14:paraId="685EADCE" w14:textId="67FBA662" w:rsidR="009A5610" w:rsidRDefault="009A5610" w:rsidP="009A5610">
      <w:pPr>
        <w:pStyle w:val="Heading2"/>
      </w:pPr>
      <w:r>
        <w:t>2</w:t>
      </w:r>
      <w:r w:rsidRPr="006E13D1">
        <w:t>.</w:t>
      </w:r>
      <w:r>
        <w:t>4</w:t>
      </w:r>
      <w:r w:rsidRPr="006E13D1">
        <w:tab/>
      </w:r>
      <w:r>
        <w:t>RAN3 aspects</w:t>
      </w:r>
    </w:p>
    <w:p w14:paraId="133EB4BF" w14:textId="5E4BD12F" w:rsidR="009A5610" w:rsidRDefault="00800543" w:rsidP="00C83A0D">
      <w:pPr>
        <w:jc w:val="both"/>
      </w:pPr>
      <w:r>
        <w:t xml:space="preserve">RAN3 has to be involved for several aspects. Hence, </w:t>
      </w:r>
      <w:r w:rsidR="00531CE1">
        <w:t>after</w:t>
      </w:r>
      <w:r>
        <w:t xml:space="preserve"> the first </w:t>
      </w:r>
      <w:r w:rsidR="0006715B">
        <w:t xml:space="preserve">solid </w:t>
      </w:r>
      <w:r>
        <w:t>decision</w:t>
      </w:r>
      <w:r w:rsidR="0006715B">
        <w:t>s</w:t>
      </w:r>
      <w:r>
        <w:t xml:space="preserve"> on CHO have been made, a liaison </w:t>
      </w:r>
      <w:r w:rsidR="00531CE1">
        <w:t xml:space="preserve">statement </w:t>
      </w:r>
      <w:r>
        <w:t>to RAN3 shall be sent</w:t>
      </w:r>
      <w:r w:rsidR="0006715B">
        <w:t>, likely</w:t>
      </w:r>
      <w:r>
        <w:t xml:space="preserve"> comprising </w:t>
      </w:r>
      <w:r w:rsidR="0006715B">
        <w:t xml:space="preserve">at least </w:t>
      </w:r>
      <w:r>
        <w:t>the following aspects:</w:t>
      </w:r>
    </w:p>
    <w:p w14:paraId="6AA421DA" w14:textId="3B5E93C9" w:rsidR="00800543" w:rsidRDefault="00800543" w:rsidP="00C83A0D">
      <w:pPr>
        <w:pStyle w:val="ListParagraph"/>
        <w:numPr>
          <w:ilvl w:val="0"/>
          <w:numId w:val="9"/>
        </w:numPr>
        <w:jc w:val="both"/>
      </w:pPr>
      <w:r>
        <w:t>Extending the HANDOVER REQUEST (ACKNOWLEDGEMENT), and HANDOVER PREPARATION FAILURE</w:t>
      </w:r>
      <w:r w:rsidR="0006715B">
        <w:t xml:space="preserve"> messages</w:t>
      </w:r>
      <w:r w:rsidR="007D1636">
        <w:t>.</w:t>
      </w:r>
    </w:p>
    <w:p w14:paraId="229ACC08" w14:textId="095693EE" w:rsidR="00800543" w:rsidRDefault="00800543" w:rsidP="00C83A0D">
      <w:pPr>
        <w:pStyle w:val="ListParagraph"/>
        <w:numPr>
          <w:ilvl w:val="0"/>
          <w:numId w:val="9"/>
        </w:numPr>
        <w:jc w:val="both"/>
      </w:pPr>
      <w:r>
        <w:t>Data Forwarding</w:t>
      </w:r>
    </w:p>
    <w:p w14:paraId="5975B8CC" w14:textId="30B7B4DA" w:rsidR="000F2D0F" w:rsidRDefault="000F2D0F" w:rsidP="00C83A0D">
      <w:pPr>
        <w:jc w:val="both"/>
      </w:pPr>
      <w:r>
        <w:t xml:space="preserve">We do not see massive problems or showstoppers </w:t>
      </w:r>
      <w:r w:rsidR="0006715B">
        <w:t>with respect to</w:t>
      </w:r>
      <w:r>
        <w:t xml:space="preserve"> those aspects, therefore we do not see a necessity to approach RAN3 </w:t>
      </w:r>
      <w:r w:rsidR="0006715B">
        <w:t>r</w:t>
      </w:r>
      <w:r>
        <w:t>ight now</w:t>
      </w:r>
      <w:r w:rsidR="0006715B">
        <w:t>, as if any progress on CHO would strongly depend on the “green light” given by RAN WG3</w:t>
      </w:r>
      <w:r>
        <w:t>.</w:t>
      </w:r>
    </w:p>
    <w:p w14:paraId="45EB2106" w14:textId="12A1ED15" w:rsidR="009A5610" w:rsidRPr="00357804" w:rsidRDefault="00531CE1" w:rsidP="009A5610">
      <w:pPr>
        <w:rPr>
          <w:b/>
        </w:rPr>
      </w:pPr>
      <w:r w:rsidRPr="000C205F">
        <w:rPr>
          <w:b/>
        </w:rPr>
        <w:t xml:space="preserve">Proposal </w:t>
      </w:r>
      <w:r>
        <w:rPr>
          <w:b/>
        </w:rPr>
        <w:t>5</w:t>
      </w:r>
      <w:r w:rsidRPr="000C205F">
        <w:rPr>
          <w:b/>
        </w:rPr>
        <w:t xml:space="preserve">: </w:t>
      </w:r>
      <w:r>
        <w:rPr>
          <w:b/>
        </w:rPr>
        <w:t xml:space="preserve">RAN2 shall send a liaison statement to RAN3 after the first </w:t>
      </w:r>
      <w:r w:rsidR="0066549B">
        <w:rPr>
          <w:b/>
        </w:rPr>
        <w:t xml:space="preserve">solid </w:t>
      </w:r>
      <w:r>
        <w:rPr>
          <w:b/>
        </w:rPr>
        <w:t xml:space="preserve">decisions on CHO </w:t>
      </w:r>
      <w:r w:rsidR="0066549B">
        <w:rPr>
          <w:b/>
        </w:rPr>
        <w:t xml:space="preserve">design </w:t>
      </w:r>
      <w:r>
        <w:rPr>
          <w:b/>
        </w:rPr>
        <w:t>have been made</w:t>
      </w:r>
      <w:r w:rsidRPr="000C205F">
        <w:rPr>
          <w:b/>
        </w:rPr>
        <w:t>.</w:t>
      </w:r>
    </w:p>
    <w:p w14:paraId="106FFEBB" w14:textId="0DBA1D52" w:rsidR="009A5610" w:rsidRDefault="009A5610" w:rsidP="009A5610">
      <w:pPr>
        <w:pStyle w:val="Heading1"/>
      </w:pPr>
      <w:r w:rsidRPr="006E13D1">
        <w:t>3</w:t>
      </w:r>
      <w:r w:rsidRPr="006E13D1">
        <w:tab/>
      </w:r>
      <w:r>
        <w:t>CHO Optimizations</w:t>
      </w:r>
    </w:p>
    <w:p w14:paraId="38038751" w14:textId="4D918009" w:rsidR="0066549B" w:rsidRPr="0066549B" w:rsidRDefault="0066549B" w:rsidP="00C83A0D">
      <w:r>
        <w:t xml:space="preserve">As suggested above, this </w:t>
      </w:r>
      <w:r w:rsidR="007D1636">
        <w:t>section</w:t>
      </w:r>
      <w:r>
        <w:t xml:space="preserve"> discusse</w:t>
      </w:r>
      <w:r w:rsidR="007D1636">
        <w:t>s</w:t>
      </w:r>
      <w:r>
        <w:t xml:space="preserve"> potential optimizations to the baseline CHO procedure.</w:t>
      </w:r>
    </w:p>
    <w:p w14:paraId="4CF006B9" w14:textId="61E9BBB9" w:rsidR="00DB6327" w:rsidRDefault="009A5610" w:rsidP="00DB6327">
      <w:pPr>
        <w:pStyle w:val="Heading2"/>
      </w:pPr>
      <w:r>
        <w:t>3</w:t>
      </w:r>
      <w:r w:rsidR="00DB6327" w:rsidRPr="006E13D1">
        <w:t>.</w:t>
      </w:r>
      <w:r w:rsidR="00D746DD">
        <w:t>1</w:t>
      </w:r>
      <w:r w:rsidR="00DB6327" w:rsidRPr="006E13D1">
        <w:tab/>
      </w:r>
      <w:r w:rsidR="0066549B">
        <w:t>M</w:t>
      </w:r>
      <w:r w:rsidR="00DB6327">
        <w:t>ultiple target</w:t>
      </w:r>
      <w:r w:rsidR="0066549B">
        <w:t xml:space="preserve"> cell</w:t>
      </w:r>
      <w:r w:rsidR="00DB6327">
        <w:t>s</w:t>
      </w:r>
    </w:p>
    <w:p w14:paraId="2F3EBCDA" w14:textId="2C574E39" w:rsidR="00DB6327" w:rsidRDefault="001B5D50" w:rsidP="00C83A0D">
      <w:pPr>
        <w:jc w:val="both"/>
      </w:pPr>
      <w:r>
        <w:t>In many contributions, it is silently assumed that CHO inherently</w:t>
      </w:r>
      <w:r w:rsidR="00F5020A">
        <w:t xml:space="preserve"> has to allow for multiple target cells. However, configuring the UE with more than a single target cell simultaneously will significantly incr</w:t>
      </w:r>
      <w:r w:rsidR="009111CF">
        <w:t xml:space="preserve">ease the standardization effort; staying with a single target </w:t>
      </w:r>
      <w:r w:rsidR="00BA6E1F">
        <w:t xml:space="preserve">cell </w:t>
      </w:r>
      <w:r w:rsidR="009111CF">
        <w:t>will keep the CHO much closer to the legacy and therefore keeps complexity low.</w:t>
      </w:r>
    </w:p>
    <w:p w14:paraId="75ED8D57" w14:textId="5ED39BF8" w:rsidR="009111CF" w:rsidRDefault="009111CF" w:rsidP="00C83A0D">
      <w:pPr>
        <w:jc w:val="both"/>
      </w:pPr>
      <w:r>
        <w:t xml:space="preserve">On the other hand, allowing for more than a single target </w:t>
      </w:r>
      <w:r w:rsidR="00005BD3">
        <w:t xml:space="preserve">cell </w:t>
      </w:r>
      <w:r>
        <w:t xml:space="preserve">will obviously improve performance. In </w:t>
      </w:r>
      <w:r w:rsidR="00357804">
        <w:fldChar w:fldCharType="begin"/>
      </w:r>
      <w:r w:rsidR="00357804">
        <w:instrText xml:space="preserve"> REF _Ref528049857 \r \h </w:instrText>
      </w:r>
      <w:r w:rsidR="00D12DFA">
        <w:instrText xml:space="preserve"> \* MERGEFORMAT </w:instrText>
      </w:r>
      <w:r w:rsidR="00357804">
        <w:fldChar w:fldCharType="separate"/>
      </w:r>
      <w:r w:rsidR="00357804">
        <w:t>[6]</w:t>
      </w:r>
      <w:r w:rsidR="00357804">
        <w:fldChar w:fldCharType="end"/>
      </w:r>
      <w:r>
        <w:t>, we are trying to quantify the benefits of multiple target</w:t>
      </w:r>
      <w:r w:rsidR="00014985">
        <w:t xml:space="preserve"> cells</w:t>
      </w:r>
      <w:r>
        <w:t>.</w:t>
      </w:r>
    </w:p>
    <w:p w14:paraId="3642015E" w14:textId="77136B48" w:rsidR="009111CF" w:rsidRDefault="009111CF" w:rsidP="00C83A0D">
      <w:pPr>
        <w:jc w:val="both"/>
      </w:pPr>
      <w:r>
        <w:t xml:space="preserve">We propose to use single target </w:t>
      </w:r>
      <w:r w:rsidR="007A3F8A">
        <w:t xml:space="preserve">cell </w:t>
      </w:r>
      <w:r>
        <w:t>as a baseline; multiple target</w:t>
      </w:r>
      <w:r w:rsidR="00BE0B5A">
        <w:t xml:space="preserve"> cell</w:t>
      </w:r>
      <w:r w:rsidR="0037073E">
        <w:t>s</w:t>
      </w:r>
      <w:r>
        <w:t xml:space="preserve"> shall only be allowed after assessing the performance benefits against the additional effort.</w:t>
      </w:r>
    </w:p>
    <w:p w14:paraId="1A16AB20" w14:textId="00A12CB2" w:rsidR="0066549B" w:rsidRPr="00C83A0D" w:rsidRDefault="0066549B" w:rsidP="00C83A0D">
      <w:pPr>
        <w:jc w:val="both"/>
        <w:rPr>
          <w:b/>
        </w:rPr>
      </w:pPr>
      <w:r>
        <w:rPr>
          <w:b/>
        </w:rPr>
        <w:t>Observation</w:t>
      </w:r>
      <w:r w:rsidRPr="000C205F">
        <w:rPr>
          <w:b/>
        </w:rPr>
        <w:t xml:space="preserve"> </w:t>
      </w:r>
      <w:r>
        <w:rPr>
          <w:b/>
        </w:rPr>
        <w:t>1</w:t>
      </w:r>
      <w:r w:rsidRPr="000C205F">
        <w:rPr>
          <w:b/>
        </w:rPr>
        <w:t xml:space="preserve">: </w:t>
      </w:r>
      <w:r>
        <w:rPr>
          <w:b/>
        </w:rPr>
        <w:t>Multiple target cells can improve the pe</w:t>
      </w:r>
      <w:r w:rsidR="00FE74C8">
        <w:rPr>
          <w:b/>
        </w:rPr>
        <w:t>r</w:t>
      </w:r>
      <w:r>
        <w:rPr>
          <w:b/>
        </w:rPr>
        <w:t>formance but at the expense of increased specification complexity. This is not a mandatory part of CHO scheme.</w:t>
      </w:r>
    </w:p>
    <w:p w14:paraId="70E99225" w14:textId="73FFB3F5" w:rsidR="00D746DD" w:rsidRDefault="00D746DD" w:rsidP="00D746DD">
      <w:pPr>
        <w:pStyle w:val="Heading2"/>
      </w:pPr>
      <w:r>
        <w:lastRenderedPageBreak/>
        <w:t>3</w:t>
      </w:r>
      <w:r w:rsidRPr="006E13D1">
        <w:t>.</w:t>
      </w:r>
      <w:r>
        <w:t>2</w:t>
      </w:r>
      <w:r w:rsidRPr="006E13D1">
        <w:tab/>
      </w:r>
      <w:r>
        <w:t>Bye Messages</w:t>
      </w:r>
    </w:p>
    <w:p w14:paraId="4B989A97" w14:textId="335101A2" w:rsidR="00D746DD" w:rsidRDefault="00D746DD" w:rsidP="00C83A0D">
      <w:pPr>
        <w:jc w:val="both"/>
      </w:pPr>
      <w:r>
        <w:t xml:space="preserve">It has been proposed that the UE sends a short “bye” message </w:t>
      </w:r>
      <w:r w:rsidR="00FE74C8">
        <w:t xml:space="preserve">to the source cell, </w:t>
      </w:r>
      <w:r>
        <w:t>when the condition expires, right before the UE accesses the target</w:t>
      </w:r>
      <w:r w:rsidR="000E4F8A">
        <w:t xml:space="preserve"> cell</w:t>
      </w:r>
      <w:r>
        <w:t xml:space="preserve">. On one hand, this may significantly help the source cell, e.g. to start data forwarding at the right point in time, or to stop </w:t>
      </w:r>
      <w:r w:rsidR="00FE74C8">
        <w:t xml:space="preserve">the </w:t>
      </w:r>
      <w:r>
        <w:t>transmission</w:t>
      </w:r>
      <w:r w:rsidR="00FE74C8">
        <w:t xml:space="preserve"> to the UE</w:t>
      </w:r>
      <w:r>
        <w:t xml:space="preserve">. On the other hand, such “bye” message will have a significant probability </w:t>
      </w:r>
      <w:r w:rsidR="00FE74C8">
        <w:t>of failed reception</w:t>
      </w:r>
      <w:r>
        <w:t xml:space="preserve">, since it is done when the UE is already safely inside the target cell; strictly spoken it violates the basic principle of CHO: to temporally separate the RRC procedures in the source cell (HO Command) and the procedures in the target cell (RACH). In other words, we cannot rely on receiving the “bye” message, we always have to consider that this </w:t>
      </w:r>
      <w:r w:rsidR="00FE74C8">
        <w:t xml:space="preserve">may be rarely </w:t>
      </w:r>
      <w:r>
        <w:t>received. This fact makes the introduced simplification less valuable.</w:t>
      </w:r>
    </w:p>
    <w:p w14:paraId="4E49F6DE" w14:textId="5E03619B" w:rsidR="00FE74C8" w:rsidRPr="00C83A0D" w:rsidRDefault="00FE74C8" w:rsidP="00C83A0D">
      <w:pPr>
        <w:jc w:val="both"/>
        <w:rPr>
          <w:b/>
        </w:rPr>
      </w:pPr>
      <w:r>
        <w:rPr>
          <w:b/>
        </w:rPr>
        <w:t>Observation</w:t>
      </w:r>
      <w:r w:rsidRPr="000C205F">
        <w:rPr>
          <w:b/>
        </w:rPr>
        <w:t xml:space="preserve"> </w:t>
      </w:r>
      <w:r>
        <w:rPr>
          <w:b/>
        </w:rPr>
        <w:t>2</w:t>
      </w:r>
      <w:r w:rsidRPr="000C205F">
        <w:rPr>
          <w:b/>
        </w:rPr>
        <w:t xml:space="preserve">: </w:t>
      </w:r>
      <w:r>
        <w:rPr>
          <w:b/>
        </w:rPr>
        <w:t xml:space="preserve">The risk of failed reception of “bye” message at the source cell is too high to make such functionality a mandatory part of CHO scheme. </w:t>
      </w:r>
    </w:p>
    <w:p w14:paraId="2B03B485" w14:textId="5A961E0A" w:rsidR="005D445E" w:rsidRDefault="009A5610" w:rsidP="005D445E">
      <w:pPr>
        <w:pStyle w:val="Heading2"/>
      </w:pPr>
      <w:r>
        <w:t>3</w:t>
      </w:r>
      <w:r w:rsidR="005D445E" w:rsidRPr="006E13D1">
        <w:t>.</w:t>
      </w:r>
      <w:r>
        <w:t>3</w:t>
      </w:r>
      <w:r w:rsidR="005D445E" w:rsidRPr="006E13D1">
        <w:tab/>
      </w:r>
      <w:r w:rsidR="005D445E">
        <w:t xml:space="preserve">Compatibility with </w:t>
      </w:r>
      <w:r w:rsidR="00DE34DC">
        <w:t xml:space="preserve">close to </w:t>
      </w:r>
      <w:r w:rsidR="005D445E">
        <w:t>0ms interruption</w:t>
      </w:r>
    </w:p>
    <w:p w14:paraId="48312AF5" w14:textId="45B88110" w:rsidR="005D445E" w:rsidRDefault="009111CF" w:rsidP="00C83A0D">
      <w:pPr>
        <w:jc w:val="both"/>
      </w:pPr>
      <w:r>
        <w:t xml:space="preserve">The CHO </w:t>
      </w:r>
      <w:r w:rsidR="00A6156E">
        <w:t xml:space="preserve">itself </w:t>
      </w:r>
      <w:r>
        <w:t>will not improve the interruption time of a successful handover.</w:t>
      </w:r>
      <w:r w:rsidR="00DE34DC">
        <w:t xml:space="preserve"> In some cases, if not configured appropriately, it may even increase the interruption, e.g. if the execution threshold is done too late. Note that such a setting might still be good for robustness (it guarantees that the target is stable),</w:t>
      </w:r>
      <w:r w:rsidR="00C83A0D">
        <w:t xml:space="preserve"> </w:t>
      </w:r>
      <w:r w:rsidR="00DE34DC">
        <w:t>but might be harmful for interruption.</w:t>
      </w:r>
    </w:p>
    <w:p w14:paraId="276D1F54" w14:textId="74A31E70" w:rsidR="00DE34DC" w:rsidRDefault="00DE34DC" w:rsidP="00C83A0D">
      <w:pPr>
        <w:jc w:val="both"/>
      </w:pPr>
      <w:r>
        <w:t>Hence, if we want to have robustness and close to 0ms interruption, we have to consider the compatibility of both solutions right from the beginning</w:t>
      </w:r>
      <w:r w:rsidR="00D746DD">
        <w:t xml:space="preserve">, as proposed in </w:t>
      </w:r>
      <w:r w:rsidR="00D746DD">
        <w:fldChar w:fldCharType="begin"/>
      </w:r>
      <w:r w:rsidR="00D746DD">
        <w:instrText xml:space="preserve"> REF _Ref528050314 \n \h </w:instrText>
      </w:r>
      <w:r w:rsidR="00D12DFA">
        <w:instrText xml:space="preserve"> \* MERGEFORMAT </w:instrText>
      </w:r>
      <w:r w:rsidR="00D746DD">
        <w:fldChar w:fldCharType="separate"/>
      </w:r>
      <w:r w:rsidR="00D746DD">
        <w:t>[6]</w:t>
      </w:r>
      <w:r w:rsidR="00D746DD">
        <w:fldChar w:fldCharType="end"/>
      </w:r>
      <w:r w:rsidR="00D746DD">
        <w:fldChar w:fldCharType="begin"/>
      </w:r>
      <w:r w:rsidR="00D746DD">
        <w:instrText xml:space="preserve"> REF _Ref528050318 \n \h </w:instrText>
      </w:r>
      <w:r w:rsidR="00D12DFA">
        <w:instrText xml:space="preserve"> \* MERGEFORMAT </w:instrText>
      </w:r>
      <w:r w:rsidR="00D746DD">
        <w:fldChar w:fldCharType="separate"/>
      </w:r>
      <w:r w:rsidR="00D746DD">
        <w:t>[7]</w:t>
      </w:r>
      <w:r w:rsidR="00D746DD">
        <w:fldChar w:fldCharType="end"/>
      </w:r>
      <w:r>
        <w:t>.</w:t>
      </w:r>
    </w:p>
    <w:p w14:paraId="36A5554D" w14:textId="14CBE03F" w:rsidR="00044400" w:rsidRDefault="009A5610" w:rsidP="00044400">
      <w:pPr>
        <w:pStyle w:val="Heading2"/>
      </w:pPr>
      <w:r>
        <w:t>3</w:t>
      </w:r>
      <w:r w:rsidR="00044400" w:rsidRPr="006E13D1">
        <w:t>.</w:t>
      </w:r>
      <w:r>
        <w:t>4</w:t>
      </w:r>
      <w:r w:rsidR="00044400" w:rsidRPr="006E13D1">
        <w:tab/>
      </w:r>
      <w:r w:rsidR="00044400">
        <w:t>Improved handling</w:t>
      </w:r>
      <w:r w:rsidR="00175BBD">
        <w:t xml:space="preserve"> of T310</w:t>
      </w:r>
    </w:p>
    <w:p w14:paraId="0AA4B7F4" w14:textId="523C26A7" w:rsidR="009F22AD" w:rsidRDefault="001B7D90" w:rsidP="00C83A0D">
      <w:pPr>
        <w:jc w:val="both"/>
      </w:pPr>
      <w:r>
        <w:t xml:space="preserve">With CHO, it may happen that T310 is started (or even expires) although the UE has been properly configured for a target cell. This happens when the execution condition is configured late. </w:t>
      </w:r>
      <w:r w:rsidR="002E6D03">
        <w:t>Allowing</w:t>
      </w:r>
      <w:r w:rsidR="00175BBD">
        <w:t xml:space="preserve"> T310 </w:t>
      </w:r>
      <w:r w:rsidR="002E6D03">
        <w:t xml:space="preserve">to </w:t>
      </w:r>
      <w:r w:rsidR="00175BBD">
        <w:t>run, or even declaring an RLF seems suboptimal in the presence of a configured target. Instead</w:t>
      </w:r>
      <w:r>
        <w:t>, slight modifications of the baseline behaviour may be helpful, e.g. accessing the target cell although the execution condition has not triggered</w:t>
      </w:r>
      <w:r w:rsidR="0022426F">
        <w:t xml:space="preserve"> (instead of </w:t>
      </w:r>
      <w:r w:rsidR="00EC4D14">
        <w:t xml:space="preserve">initiating RRC connection </w:t>
      </w:r>
      <w:r w:rsidR="0022426F">
        <w:t>re-establishment</w:t>
      </w:r>
      <w:r w:rsidR="00EC4D14">
        <w:t xml:space="preserve"> after detecting an RLF</w:t>
      </w:r>
      <w:r w:rsidR="0022426F">
        <w:t>).</w:t>
      </w:r>
      <w:r>
        <w:t xml:space="preserve"> </w:t>
      </w:r>
    </w:p>
    <w:p w14:paraId="2E7306A4" w14:textId="68A3C31C" w:rsidR="002E6D03" w:rsidRDefault="008522EE" w:rsidP="00C83A0D">
      <w:pPr>
        <w:jc w:val="both"/>
        <w:rPr>
          <w:b/>
        </w:rPr>
      </w:pPr>
      <w:r>
        <w:rPr>
          <w:b/>
        </w:rPr>
        <w:t>Observation</w:t>
      </w:r>
      <w:r w:rsidRPr="000C205F">
        <w:rPr>
          <w:b/>
        </w:rPr>
        <w:t xml:space="preserve"> </w:t>
      </w:r>
      <w:r w:rsidR="005311F5">
        <w:rPr>
          <w:b/>
        </w:rPr>
        <w:t>3</w:t>
      </w:r>
      <w:r w:rsidRPr="000C205F">
        <w:rPr>
          <w:b/>
        </w:rPr>
        <w:t xml:space="preserve">: </w:t>
      </w:r>
      <w:r>
        <w:rPr>
          <w:b/>
        </w:rPr>
        <w:t>The</w:t>
      </w:r>
      <w:r w:rsidR="005311F5">
        <w:rPr>
          <w:b/>
        </w:rPr>
        <w:t xml:space="preserve"> design of CHO shall consider the behaviour</w:t>
      </w:r>
      <w:r w:rsidR="00D201A1">
        <w:rPr>
          <w:b/>
        </w:rPr>
        <w:t xml:space="preserve"> of T310</w:t>
      </w:r>
      <w:r w:rsidR="005311F5">
        <w:rPr>
          <w:b/>
        </w:rPr>
        <w:t xml:space="preserve"> in the light of early HO command and the existence of a prepared target cell.</w:t>
      </w:r>
      <w:r>
        <w:rPr>
          <w:b/>
        </w:rPr>
        <w:t xml:space="preserve"> </w:t>
      </w:r>
    </w:p>
    <w:p w14:paraId="03CAC9CF" w14:textId="46E6C8E2" w:rsidR="008522EE" w:rsidRPr="00D12DFA" w:rsidRDefault="005311F5" w:rsidP="00C83A0D">
      <w:pPr>
        <w:jc w:val="both"/>
      </w:pPr>
      <w:r>
        <w:t>Nevertheless, as we have observed in the beginning of the paper, those issues listed in section 3 of this TDoc shall be considered only when the basics of CHO are worked out. Thus, we propose the following:</w:t>
      </w:r>
    </w:p>
    <w:p w14:paraId="3CCC5A42" w14:textId="41EAB601" w:rsidR="001E27E7" w:rsidRPr="00357804" w:rsidRDefault="001E27E7" w:rsidP="00C83A0D">
      <w:pPr>
        <w:jc w:val="both"/>
        <w:rPr>
          <w:b/>
        </w:rPr>
      </w:pPr>
      <w:r w:rsidRPr="000C205F">
        <w:rPr>
          <w:b/>
        </w:rPr>
        <w:t xml:space="preserve">Proposal </w:t>
      </w:r>
      <w:r>
        <w:rPr>
          <w:b/>
        </w:rPr>
        <w:t>6</w:t>
      </w:r>
      <w:r w:rsidRPr="000C205F">
        <w:rPr>
          <w:b/>
        </w:rPr>
        <w:t xml:space="preserve">: </w:t>
      </w:r>
      <w:r>
        <w:rPr>
          <w:b/>
        </w:rPr>
        <w:t>The optional optimization aspects above shall be addressed once the baseline operation has been agreed</w:t>
      </w:r>
      <w:r w:rsidRPr="000C205F">
        <w:rPr>
          <w:b/>
        </w:rPr>
        <w:t>.</w:t>
      </w:r>
    </w:p>
    <w:p w14:paraId="6C31BA3E" w14:textId="4514F312" w:rsidR="009F22AD" w:rsidRDefault="009F22AD" w:rsidP="009F22AD">
      <w:pPr>
        <w:pStyle w:val="Heading1"/>
      </w:pPr>
      <w:r>
        <w:t>4</w:t>
      </w:r>
      <w:r w:rsidRPr="006E13D1">
        <w:tab/>
      </w:r>
      <w:r>
        <w:t>Conclusion</w:t>
      </w:r>
    </w:p>
    <w:p w14:paraId="099BF662" w14:textId="77777777" w:rsidR="00D12DFA" w:rsidRDefault="00D12DFA" w:rsidP="00C83A0D">
      <w:pPr>
        <w:jc w:val="both"/>
      </w:pPr>
      <w:r>
        <w:t>This paper analysed the detailed steps of CHO specification in 3GPP. In the course of the TDoc the following observations and proposals have been outlined:</w:t>
      </w:r>
    </w:p>
    <w:p w14:paraId="3F428860" w14:textId="1D5C815F" w:rsidR="00D12DFA" w:rsidRPr="000C205F" w:rsidRDefault="00D12DFA" w:rsidP="00C83A0D">
      <w:pPr>
        <w:jc w:val="both"/>
        <w:rPr>
          <w:b/>
        </w:rPr>
      </w:pPr>
      <w:r w:rsidRPr="000C205F">
        <w:rPr>
          <w:b/>
        </w:rPr>
        <w:t xml:space="preserve">Proposal 1: </w:t>
      </w:r>
      <w:r>
        <w:rPr>
          <w:b/>
        </w:rPr>
        <w:t>RAN2 shall discuss the design of the execution threshold, considering the aspects listed above.</w:t>
      </w:r>
    </w:p>
    <w:p w14:paraId="42B919B6" w14:textId="77777777" w:rsidR="00D12DFA" w:rsidRPr="000C205F" w:rsidRDefault="00D12DFA" w:rsidP="00C83A0D">
      <w:pPr>
        <w:jc w:val="both"/>
        <w:rPr>
          <w:b/>
        </w:rPr>
      </w:pPr>
      <w:r w:rsidRPr="000C205F">
        <w:rPr>
          <w:b/>
        </w:rPr>
        <w:t xml:space="preserve">Proposal 2: </w:t>
      </w:r>
      <w:r>
        <w:rPr>
          <w:b/>
        </w:rPr>
        <w:t>A</w:t>
      </w:r>
      <w:r w:rsidRPr="000C205F">
        <w:rPr>
          <w:b/>
        </w:rPr>
        <w:t xml:space="preserve"> procedure to de</w:t>
      </w:r>
      <w:r>
        <w:rPr>
          <w:b/>
        </w:rPr>
        <w:t>-</w:t>
      </w:r>
      <w:r w:rsidRPr="000C205F">
        <w:rPr>
          <w:b/>
        </w:rPr>
        <w:t>configure a prepared target cell is needed</w:t>
      </w:r>
      <w:r>
        <w:rPr>
          <w:b/>
        </w:rPr>
        <w:t xml:space="preserve"> for CHO procedure</w:t>
      </w:r>
      <w:r w:rsidRPr="000C205F">
        <w:rPr>
          <w:b/>
        </w:rPr>
        <w:t>.</w:t>
      </w:r>
    </w:p>
    <w:p w14:paraId="0C568BF2" w14:textId="77777777" w:rsidR="00D12DFA" w:rsidRPr="000C205F" w:rsidRDefault="00D12DFA" w:rsidP="00C83A0D">
      <w:pPr>
        <w:jc w:val="both"/>
        <w:rPr>
          <w:b/>
        </w:rPr>
      </w:pPr>
      <w:r w:rsidRPr="000C205F">
        <w:rPr>
          <w:b/>
        </w:rPr>
        <w:t xml:space="preserve">Proposal </w:t>
      </w:r>
      <w:r>
        <w:rPr>
          <w:b/>
        </w:rPr>
        <w:t>3</w:t>
      </w:r>
      <w:r w:rsidRPr="000C205F">
        <w:rPr>
          <w:b/>
        </w:rPr>
        <w:t xml:space="preserve">: </w:t>
      </w:r>
      <w:r>
        <w:rPr>
          <w:b/>
        </w:rPr>
        <w:t>RAN2 shall discuss how prepared cells can be de-configured for CHO procedure</w:t>
      </w:r>
      <w:r w:rsidRPr="000C205F">
        <w:rPr>
          <w:b/>
        </w:rPr>
        <w:t>.</w:t>
      </w:r>
    </w:p>
    <w:p w14:paraId="6FA567A4" w14:textId="77777777" w:rsidR="00D12DFA" w:rsidRPr="00800543" w:rsidRDefault="00D12DFA" w:rsidP="00C83A0D">
      <w:pPr>
        <w:jc w:val="both"/>
        <w:rPr>
          <w:b/>
        </w:rPr>
      </w:pPr>
      <w:r w:rsidRPr="000C205F">
        <w:rPr>
          <w:b/>
        </w:rPr>
        <w:t xml:space="preserve">Proposal </w:t>
      </w:r>
      <w:r>
        <w:rPr>
          <w:b/>
        </w:rPr>
        <w:t>4</w:t>
      </w:r>
      <w:r w:rsidRPr="000C205F">
        <w:rPr>
          <w:b/>
        </w:rPr>
        <w:t xml:space="preserve">: </w:t>
      </w:r>
      <w:r>
        <w:rPr>
          <w:b/>
        </w:rPr>
        <w:t>RAN2 shall discuss the RRC responsibility during CHO procedure</w:t>
      </w:r>
      <w:r w:rsidRPr="000C205F">
        <w:rPr>
          <w:b/>
        </w:rPr>
        <w:t>.</w:t>
      </w:r>
    </w:p>
    <w:p w14:paraId="6254277B" w14:textId="77777777" w:rsidR="00D12DFA" w:rsidRPr="00357804" w:rsidRDefault="00D12DFA" w:rsidP="00C83A0D">
      <w:pPr>
        <w:jc w:val="both"/>
        <w:rPr>
          <w:b/>
        </w:rPr>
      </w:pPr>
      <w:r w:rsidRPr="000C205F">
        <w:rPr>
          <w:b/>
        </w:rPr>
        <w:t xml:space="preserve">Proposal </w:t>
      </w:r>
      <w:r>
        <w:rPr>
          <w:b/>
        </w:rPr>
        <w:t>5</w:t>
      </w:r>
      <w:r w:rsidRPr="000C205F">
        <w:rPr>
          <w:b/>
        </w:rPr>
        <w:t xml:space="preserve">: </w:t>
      </w:r>
      <w:r>
        <w:rPr>
          <w:b/>
        </w:rPr>
        <w:t>RAN2 shall send a liaison statement to RAN3 after the first solid decisions on CHO design have been made</w:t>
      </w:r>
      <w:r w:rsidRPr="000C205F">
        <w:rPr>
          <w:b/>
        </w:rPr>
        <w:t>.</w:t>
      </w:r>
    </w:p>
    <w:p w14:paraId="0930E02A" w14:textId="77777777" w:rsidR="00D12DFA" w:rsidRPr="00AB623C" w:rsidRDefault="00D12DFA" w:rsidP="00C83A0D">
      <w:pPr>
        <w:jc w:val="both"/>
        <w:rPr>
          <w:b/>
        </w:rPr>
      </w:pPr>
      <w:r>
        <w:rPr>
          <w:b/>
        </w:rPr>
        <w:t>Observation</w:t>
      </w:r>
      <w:r w:rsidRPr="000C205F">
        <w:rPr>
          <w:b/>
        </w:rPr>
        <w:t xml:space="preserve"> </w:t>
      </w:r>
      <w:r>
        <w:rPr>
          <w:b/>
        </w:rPr>
        <w:t>1</w:t>
      </w:r>
      <w:r w:rsidRPr="000C205F">
        <w:rPr>
          <w:b/>
        </w:rPr>
        <w:t xml:space="preserve">: </w:t>
      </w:r>
      <w:r>
        <w:rPr>
          <w:b/>
        </w:rPr>
        <w:t>Multiple target cells can improve the performance but at the expense of increased specification complexity. This is not a mandatory part of CHO scheme.</w:t>
      </w:r>
    </w:p>
    <w:p w14:paraId="2FB121E7" w14:textId="77777777" w:rsidR="00D12DFA" w:rsidRPr="00AB623C" w:rsidRDefault="00D12DFA" w:rsidP="00C83A0D">
      <w:pPr>
        <w:jc w:val="both"/>
        <w:rPr>
          <w:b/>
        </w:rPr>
      </w:pPr>
      <w:r>
        <w:rPr>
          <w:b/>
        </w:rPr>
        <w:t>Observation</w:t>
      </w:r>
      <w:r w:rsidRPr="000C205F">
        <w:rPr>
          <w:b/>
        </w:rPr>
        <w:t xml:space="preserve"> </w:t>
      </w:r>
      <w:r>
        <w:rPr>
          <w:b/>
        </w:rPr>
        <w:t>2</w:t>
      </w:r>
      <w:r w:rsidRPr="000C205F">
        <w:rPr>
          <w:b/>
        </w:rPr>
        <w:t xml:space="preserve">: </w:t>
      </w:r>
      <w:r>
        <w:rPr>
          <w:b/>
        </w:rPr>
        <w:t xml:space="preserve">The risk of failed reception of “bye” message at the source cell is too high to make such functionality a mandatory part of CHO scheme. </w:t>
      </w:r>
    </w:p>
    <w:p w14:paraId="594EF884" w14:textId="6D80FF55" w:rsidR="00D12DFA" w:rsidRDefault="00D12DFA" w:rsidP="00C83A0D">
      <w:pPr>
        <w:jc w:val="both"/>
        <w:rPr>
          <w:b/>
        </w:rPr>
      </w:pPr>
      <w:r>
        <w:rPr>
          <w:b/>
        </w:rPr>
        <w:lastRenderedPageBreak/>
        <w:t>Observation</w:t>
      </w:r>
      <w:r w:rsidRPr="000C205F">
        <w:rPr>
          <w:b/>
        </w:rPr>
        <w:t xml:space="preserve"> </w:t>
      </w:r>
      <w:r>
        <w:rPr>
          <w:b/>
        </w:rPr>
        <w:t>3</w:t>
      </w:r>
      <w:r w:rsidRPr="000C205F">
        <w:rPr>
          <w:b/>
        </w:rPr>
        <w:t xml:space="preserve">: </w:t>
      </w:r>
      <w:r>
        <w:rPr>
          <w:b/>
        </w:rPr>
        <w:t>The design of CHO shall consider the behaviour</w:t>
      </w:r>
      <w:r w:rsidR="00736BD2">
        <w:rPr>
          <w:b/>
        </w:rPr>
        <w:t xml:space="preserve"> of T310</w:t>
      </w:r>
      <w:r>
        <w:rPr>
          <w:b/>
        </w:rPr>
        <w:t xml:space="preserve"> in the light of early HO command and the existence of a prepared target cell. </w:t>
      </w:r>
    </w:p>
    <w:p w14:paraId="46555898" w14:textId="08D04AE1" w:rsidR="009053F3" w:rsidRPr="00C83A0D" w:rsidRDefault="00D12DFA" w:rsidP="00C83A0D">
      <w:pPr>
        <w:jc w:val="both"/>
        <w:rPr>
          <w:b/>
        </w:rPr>
      </w:pPr>
      <w:r w:rsidRPr="000C205F">
        <w:rPr>
          <w:b/>
        </w:rPr>
        <w:t xml:space="preserve">Proposal </w:t>
      </w:r>
      <w:r>
        <w:rPr>
          <w:b/>
        </w:rPr>
        <w:t>6</w:t>
      </w:r>
      <w:r w:rsidRPr="000C205F">
        <w:rPr>
          <w:b/>
        </w:rPr>
        <w:t xml:space="preserve">: </w:t>
      </w:r>
      <w:r>
        <w:rPr>
          <w:b/>
        </w:rPr>
        <w:t>The optional optimization aspects above shall be addressed once the baseline operation has been agreed</w:t>
      </w:r>
      <w:r w:rsidRPr="000C205F">
        <w:rPr>
          <w:b/>
        </w:rPr>
        <w:t>.</w:t>
      </w:r>
    </w:p>
    <w:p w14:paraId="2A09C251" w14:textId="77777777" w:rsidR="002039A7" w:rsidRPr="006E13D1" w:rsidRDefault="002039A7" w:rsidP="00CD4C7B"/>
    <w:p w14:paraId="0FDCFAC2" w14:textId="77777777" w:rsidR="00CD4C7B" w:rsidRPr="006E13D1" w:rsidRDefault="00CD4C7B" w:rsidP="00CD4C7B">
      <w:pPr>
        <w:pStyle w:val="Heading1"/>
      </w:pPr>
      <w:r w:rsidRPr="006E13D1">
        <w:t>References</w:t>
      </w:r>
    </w:p>
    <w:p w14:paraId="52DBDF53" w14:textId="1786E213" w:rsidR="00DC58A6" w:rsidRDefault="00AE7AFF" w:rsidP="00AE7AFF">
      <w:pPr>
        <w:numPr>
          <w:ilvl w:val="0"/>
          <w:numId w:val="4"/>
        </w:numPr>
        <w:overflowPunct w:val="0"/>
        <w:autoSpaceDE w:val="0"/>
        <w:autoSpaceDN w:val="0"/>
        <w:adjustRightInd w:val="0"/>
        <w:textAlignment w:val="baseline"/>
      </w:pPr>
      <w:bookmarkStart w:id="0" w:name="_Ref527961719"/>
      <w:bookmarkStart w:id="1" w:name="_Ref527963959"/>
      <w:bookmarkStart w:id="2" w:name="_Ref75086397"/>
      <w:r w:rsidRPr="00AE7AFF">
        <w:t>R2-1815244</w:t>
      </w:r>
      <w:r w:rsidR="00DC58A6">
        <w:t xml:space="preserve"> </w:t>
      </w:r>
      <w:r w:rsidRPr="00AE7AFF">
        <w:rPr>
          <w:i/>
          <w:iCs/>
        </w:rPr>
        <w:t>Considerations on Conditional Handover</w:t>
      </w:r>
      <w:r w:rsidR="00DC58A6">
        <w:t xml:space="preserve"> - </w:t>
      </w:r>
      <w:bookmarkEnd w:id="0"/>
      <w:r>
        <w:t>ETRI</w:t>
      </w:r>
      <w:bookmarkEnd w:id="1"/>
    </w:p>
    <w:p w14:paraId="78AADFD3" w14:textId="096F0B0C" w:rsidR="00AE7AFF" w:rsidRDefault="00AE7AFF" w:rsidP="00AE7AFF">
      <w:pPr>
        <w:numPr>
          <w:ilvl w:val="0"/>
          <w:numId w:val="4"/>
        </w:numPr>
        <w:overflowPunct w:val="0"/>
        <w:autoSpaceDE w:val="0"/>
        <w:autoSpaceDN w:val="0"/>
        <w:adjustRightInd w:val="0"/>
        <w:textAlignment w:val="baseline"/>
      </w:pPr>
      <w:bookmarkStart w:id="3" w:name="_Ref527963962"/>
      <w:bookmarkStart w:id="4" w:name="_Ref527961733"/>
      <w:r w:rsidRPr="00AE7AFF">
        <w:t>R2-181401</w:t>
      </w:r>
      <w:r>
        <w:t xml:space="preserve">4 </w:t>
      </w:r>
      <w:r w:rsidRPr="00AE7AFF">
        <w:rPr>
          <w:i/>
          <w:iCs/>
        </w:rPr>
        <w:t>Conditional handover for LTE</w:t>
      </w:r>
      <w:r>
        <w:t xml:space="preserve"> - InterDigital</w:t>
      </w:r>
      <w:bookmarkEnd w:id="3"/>
    </w:p>
    <w:p w14:paraId="4E59A8BF" w14:textId="5A8A04FD" w:rsidR="00AE7AFF" w:rsidRDefault="00AE7AFF" w:rsidP="00AE7AFF">
      <w:pPr>
        <w:numPr>
          <w:ilvl w:val="0"/>
          <w:numId w:val="4"/>
        </w:numPr>
        <w:overflowPunct w:val="0"/>
        <w:autoSpaceDE w:val="0"/>
        <w:autoSpaceDN w:val="0"/>
        <w:adjustRightInd w:val="0"/>
        <w:textAlignment w:val="baseline"/>
      </w:pPr>
      <w:bookmarkStart w:id="5" w:name="_Ref527963964"/>
      <w:r w:rsidRPr="00AE7AFF">
        <w:t>R2-1814051</w:t>
      </w:r>
      <w:r>
        <w:t xml:space="preserve"> </w:t>
      </w:r>
      <w:r w:rsidRPr="00AE7AFF">
        <w:rPr>
          <w:i/>
          <w:iCs/>
        </w:rPr>
        <w:t>Discussion of conditional handover</w:t>
      </w:r>
      <w:r>
        <w:t xml:space="preserve"> - Intel</w:t>
      </w:r>
      <w:bookmarkEnd w:id="5"/>
    </w:p>
    <w:p w14:paraId="60AB9468" w14:textId="0E3B626A" w:rsidR="00AE7AFF" w:rsidRDefault="00AE7AFF" w:rsidP="00AE7AFF">
      <w:pPr>
        <w:numPr>
          <w:ilvl w:val="0"/>
          <w:numId w:val="4"/>
        </w:numPr>
        <w:overflowPunct w:val="0"/>
        <w:autoSpaceDE w:val="0"/>
        <w:autoSpaceDN w:val="0"/>
        <w:adjustRightInd w:val="0"/>
        <w:textAlignment w:val="baseline"/>
      </w:pPr>
      <w:bookmarkStart w:id="6" w:name="_Ref527963966"/>
      <w:r w:rsidRPr="00AE7AFF">
        <w:t>R2-1814194</w:t>
      </w:r>
      <w:r>
        <w:t xml:space="preserve"> </w:t>
      </w:r>
      <w:r w:rsidRPr="00AE7AFF">
        <w:rPr>
          <w:i/>
          <w:iCs/>
        </w:rPr>
        <w:t>Signaling procedures of conditional handover</w:t>
      </w:r>
      <w:r>
        <w:t xml:space="preserve"> - vivo</w:t>
      </w:r>
      <w:bookmarkEnd w:id="6"/>
    </w:p>
    <w:p w14:paraId="2869AA2F" w14:textId="37CE8198" w:rsidR="009D3455" w:rsidRDefault="009D3455" w:rsidP="009D3455">
      <w:pPr>
        <w:numPr>
          <w:ilvl w:val="0"/>
          <w:numId w:val="4"/>
        </w:numPr>
        <w:overflowPunct w:val="0"/>
        <w:autoSpaceDE w:val="0"/>
        <w:autoSpaceDN w:val="0"/>
        <w:adjustRightInd w:val="0"/>
        <w:textAlignment w:val="baseline"/>
      </w:pPr>
      <w:bookmarkStart w:id="7" w:name="_Ref527963922"/>
      <w:r w:rsidRPr="009D3455">
        <w:t>RP-181544</w:t>
      </w:r>
      <w:r>
        <w:t xml:space="preserve"> </w:t>
      </w:r>
      <w:r w:rsidRPr="009D3455">
        <w:rPr>
          <w:i/>
          <w:iCs/>
        </w:rPr>
        <w:t>Even further mobility enhancement in E-UTRAN</w:t>
      </w:r>
      <w:r>
        <w:t xml:space="preserve"> – Rel</w:t>
      </w:r>
      <w:r w:rsidR="005F63B4">
        <w:t>-</w:t>
      </w:r>
      <w:r>
        <w:t>16 Work Item</w:t>
      </w:r>
      <w:bookmarkEnd w:id="4"/>
      <w:bookmarkEnd w:id="7"/>
    </w:p>
    <w:p w14:paraId="30160394" w14:textId="72CF9EDB" w:rsidR="0046472F" w:rsidRDefault="0046472F" w:rsidP="0046472F">
      <w:pPr>
        <w:numPr>
          <w:ilvl w:val="0"/>
          <w:numId w:val="4"/>
        </w:numPr>
        <w:overflowPunct w:val="0"/>
        <w:autoSpaceDE w:val="0"/>
        <w:autoSpaceDN w:val="0"/>
        <w:adjustRightInd w:val="0"/>
        <w:textAlignment w:val="baseline"/>
      </w:pPr>
      <w:bookmarkStart w:id="8" w:name="_Ref528050314"/>
      <w:bookmarkStart w:id="9" w:name="_Ref528049857"/>
      <w:r w:rsidRPr="009D3455">
        <w:t>R</w:t>
      </w:r>
      <w:r>
        <w:t>2</w:t>
      </w:r>
      <w:r w:rsidRPr="009D3455">
        <w:t>-181</w:t>
      </w:r>
      <w:r>
        <w:t xml:space="preserve">4207 </w:t>
      </w:r>
      <w:r w:rsidRPr="0046472F">
        <w:rPr>
          <w:i/>
          <w:iCs/>
        </w:rPr>
        <w:t xml:space="preserve">LTE Mobility Robustness Enhancements </w:t>
      </w:r>
      <w:r>
        <w:t xml:space="preserve">– </w:t>
      </w:r>
      <w:r w:rsidRPr="0046472F">
        <w:t>Qualcomm India Pvt Ltd</w:t>
      </w:r>
      <w:bookmarkEnd w:id="8"/>
    </w:p>
    <w:p w14:paraId="220E3404" w14:textId="21C92C33" w:rsidR="00361027" w:rsidRDefault="00361027" w:rsidP="00361027">
      <w:pPr>
        <w:numPr>
          <w:ilvl w:val="0"/>
          <w:numId w:val="4"/>
        </w:numPr>
        <w:overflowPunct w:val="0"/>
        <w:autoSpaceDE w:val="0"/>
        <w:autoSpaceDN w:val="0"/>
        <w:adjustRightInd w:val="0"/>
        <w:textAlignment w:val="baseline"/>
      </w:pPr>
      <w:bookmarkStart w:id="10" w:name="_Ref528050318"/>
      <w:r w:rsidRPr="009D3455">
        <w:t>R</w:t>
      </w:r>
      <w:r>
        <w:t>2</w:t>
      </w:r>
      <w:r w:rsidRPr="009D3455">
        <w:t>-181</w:t>
      </w:r>
      <w:r>
        <w:t xml:space="preserve">5243 </w:t>
      </w:r>
      <w:r w:rsidRPr="00361027">
        <w:rPr>
          <w:i/>
          <w:iCs/>
        </w:rPr>
        <w:t>Conditional Make-Before-Break Handover</w:t>
      </w:r>
      <w:r w:rsidRPr="0046472F">
        <w:rPr>
          <w:i/>
          <w:iCs/>
        </w:rPr>
        <w:t xml:space="preserve"> </w:t>
      </w:r>
      <w:r>
        <w:t>– ETR</w:t>
      </w:r>
      <w:bookmarkStart w:id="11" w:name="_GoBack"/>
      <w:bookmarkEnd w:id="11"/>
      <w:r>
        <w:t>I</w:t>
      </w:r>
      <w:bookmarkEnd w:id="10"/>
    </w:p>
    <w:p w14:paraId="203E4189" w14:textId="6D49A79A" w:rsidR="00357804" w:rsidRDefault="00357804" w:rsidP="00C83A0D">
      <w:pPr>
        <w:numPr>
          <w:ilvl w:val="0"/>
          <w:numId w:val="4"/>
        </w:numPr>
        <w:overflowPunct w:val="0"/>
        <w:autoSpaceDE w:val="0"/>
        <w:autoSpaceDN w:val="0"/>
        <w:adjustRightInd w:val="0"/>
        <w:textAlignment w:val="baseline"/>
      </w:pPr>
      <w:r w:rsidRPr="00AE7AFF">
        <w:t>R2-18</w:t>
      </w:r>
      <w:r w:rsidR="00C83A0D">
        <w:t>17687</w:t>
      </w:r>
      <w:r>
        <w:t xml:space="preserve"> </w:t>
      </w:r>
      <w:r w:rsidR="00C83A0D" w:rsidRPr="00C83A0D">
        <w:rPr>
          <w:i/>
        </w:rPr>
        <w:t>Performance of Conditional Handover – simulation results</w:t>
      </w:r>
      <w:r w:rsidR="00C83A0D" w:rsidRPr="00C83A0D">
        <w:t xml:space="preserve"> </w:t>
      </w:r>
      <w:r>
        <w:t>- Nokia</w:t>
      </w:r>
      <w:bookmarkEnd w:id="9"/>
    </w:p>
    <w:bookmarkEnd w:id="2"/>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B9D5D" w14:textId="77777777" w:rsidR="000E5C46" w:rsidRDefault="000E5C46">
      <w:r>
        <w:separator/>
      </w:r>
    </w:p>
  </w:endnote>
  <w:endnote w:type="continuationSeparator" w:id="0">
    <w:p w14:paraId="091BB138" w14:textId="77777777" w:rsidR="000E5C46" w:rsidRDefault="000E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A2BC2" w14:textId="77777777" w:rsidR="000E5C46" w:rsidRDefault="000E5C46">
      <w:r>
        <w:separator/>
      </w:r>
    </w:p>
  </w:footnote>
  <w:footnote w:type="continuationSeparator" w:id="0">
    <w:p w14:paraId="038187C2" w14:textId="77777777" w:rsidR="000E5C46" w:rsidRDefault="000E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8605F0"/>
    <w:multiLevelType w:val="hybridMultilevel"/>
    <w:tmpl w:val="FCF2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60BEF"/>
    <w:multiLevelType w:val="hybridMultilevel"/>
    <w:tmpl w:val="0B2E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3464D"/>
    <w:multiLevelType w:val="hybridMultilevel"/>
    <w:tmpl w:val="5428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D804435"/>
    <w:multiLevelType w:val="hybridMultilevel"/>
    <w:tmpl w:val="B9B01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F4330D"/>
    <w:multiLevelType w:val="hybridMultilevel"/>
    <w:tmpl w:val="84F2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3"/>
    <w:rsid w:val="00005BD3"/>
    <w:rsid w:val="00007B0E"/>
    <w:rsid w:val="00014985"/>
    <w:rsid w:val="000229AC"/>
    <w:rsid w:val="0003078C"/>
    <w:rsid w:val="00033397"/>
    <w:rsid w:val="00040095"/>
    <w:rsid w:val="00044400"/>
    <w:rsid w:val="0006715B"/>
    <w:rsid w:val="00080512"/>
    <w:rsid w:val="00090468"/>
    <w:rsid w:val="000B7BCF"/>
    <w:rsid w:val="000C205F"/>
    <w:rsid w:val="000C522B"/>
    <w:rsid w:val="000D58AB"/>
    <w:rsid w:val="000E4F8A"/>
    <w:rsid w:val="000E5C46"/>
    <w:rsid w:val="000E7946"/>
    <w:rsid w:val="000F2D0F"/>
    <w:rsid w:val="00112F1A"/>
    <w:rsid w:val="00145075"/>
    <w:rsid w:val="001741A0"/>
    <w:rsid w:val="00175BBD"/>
    <w:rsid w:val="00175FA0"/>
    <w:rsid w:val="00194CD0"/>
    <w:rsid w:val="001B49C9"/>
    <w:rsid w:val="001B5D50"/>
    <w:rsid w:val="001B7D90"/>
    <w:rsid w:val="001C107F"/>
    <w:rsid w:val="001C4F79"/>
    <w:rsid w:val="001E142C"/>
    <w:rsid w:val="001E27E7"/>
    <w:rsid w:val="001F168B"/>
    <w:rsid w:val="001F7831"/>
    <w:rsid w:val="002039A7"/>
    <w:rsid w:val="00204045"/>
    <w:rsid w:val="0020712B"/>
    <w:rsid w:val="00212D4B"/>
    <w:rsid w:val="0022426F"/>
    <w:rsid w:val="0022606D"/>
    <w:rsid w:val="00231728"/>
    <w:rsid w:val="0023490E"/>
    <w:rsid w:val="002610D8"/>
    <w:rsid w:val="002747EC"/>
    <w:rsid w:val="002855BF"/>
    <w:rsid w:val="002E6D03"/>
    <w:rsid w:val="002F0D22"/>
    <w:rsid w:val="00314B65"/>
    <w:rsid w:val="003172DC"/>
    <w:rsid w:val="0031776D"/>
    <w:rsid w:val="00325AE3"/>
    <w:rsid w:val="00326069"/>
    <w:rsid w:val="0035462D"/>
    <w:rsid w:val="00357804"/>
    <w:rsid w:val="00361027"/>
    <w:rsid w:val="00364B41"/>
    <w:rsid w:val="0037073E"/>
    <w:rsid w:val="0038214F"/>
    <w:rsid w:val="003A41EF"/>
    <w:rsid w:val="003B40AD"/>
    <w:rsid w:val="003C4E37"/>
    <w:rsid w:val="003D19FA"/>
    <w:rsid w:val="003D7ED3"/>
    <w:rsid w:val="003E16BE"/>
    <w:rsid w:val="003F4E28"/>
    <w:rsid w:val="004006E8"/>
    <w:rsid w:val="00401855"/>
    <w:rsid w:val="00425B20"/>
    <w:rsid w:val="0046472F"/>
    <w:rsid w:val="00477455"/>
    <w:rsid w:val="00484D25"/>
    <w:rsid w:val="004A1F7B"/>
    <w:rsid w:val="004C44D2"/>
    <w:rsid w:val="004D08D5"/>
    <w:rsid w:val="004D3578"/>
    <w:rsid w:val="004D380D"/>
    <w:rsid w:val="004E213A"/>
    <w:rsid w:val="00503171"/>
    <w:rsid w:val="00506C28"/>
    <w:rsid w:val="005311F5"/>
    <w:rsid w:val="00531CE1"/>
    <w:rsid w:val="00534DA0"/>
    <w:rsid w:val="00543E6C"/>
    <w:rsid w:val="00547874"/>
    <w:rsid w:val="00565087"/>
    <w:rsid w:val="0056573F"/>
    <w:rsid w:val="0057162D"/>
    <w:rsid w:val="005D445E"/>
    <w:rsid w:val="005F63B4"/>
    <w:rsid w:val="00611566"/>
    <w:rsid w:val="00646D99"/>
    <w:rsid w:val="00656910"/>
    <w:rsid w:val="0066549B"/>
    <w:rsid w:val="006748DD"/>
    <w:rsid w:val="0069266C"/>
    <w:rsid w:val="006A36E1"/>
    <w:rsid w:val="006C66D8"/>
    <w:rsid w:val="006D1E24"/>
    <w:rsid w:val="006E1417"/>
    <w:rsid w:val="006F6A2C"/>
    <w:rsid w:val="00710201"/>
    <w:rsid w:val="007342B5"/>
    <w:rsid w:val="00734A5B"/>
    <w:rsid w:val="00736BD2"/>
    <w:rsid w:val="00744E76"/>
    <w:rsid w:val="00757D40"/>
    <w:rsid w:val="00781F0F"/>
    <w:rsid w:val="0078727C"/>
    <w:rsid w:val="0079049D"/>
    <w:rsid w:val="00793DC5"/>
    <w:rsid w:val="007A3F8A"/>
    <w:rsid w:val="007A6F67"/>
    <w:rsid w:val="007B18D8"/>
    <w:rsid w:val="007C095F"/>
    <w:rsid w:val="007C1BD4"/>
    <w:rsid w:val="007C2DD0"/>
    <w:rsid w:val="007D1636"/>
    <w:rsid w:val="00800543"/>
    <w:rsid w:val="008028A4"/>
    <w:rsid w:val="00813245"/>
    <w:rsid w:val="008522EE"/>
    <w:rsid w:val="008768CA"/>
    <w:rsid w:val="00877EF9"/>
    <w:rsid w:val="00880559"/>
    <w:rsid w:val="00884960"/>
    <w:rsid w:val="00896C73"/>
    <w:rsid w:val="00897F6B"/>
    <w:rsid w:val="008A4C6D"/>
    <w:rsid w:val="008B5306"/>
    <w:rsid w:val="008D2E4D"/>
    <w:rsid w:val="008F396F"/>
    <w:rsid w:val="0090271F"/>
    <w:rsid w:val="00902DB9"/>
    <w:rsid w:val="0090466A"/>
    <w:rsid w:val="009053F3"/>
    <w:rsid w:val="009111CF"/>
    <w:rsid w:val="00936071"/>
    <w:rsid w:val="00940212"/>
    <w:rsid w:val="00942EC2"/>
    <w:rsid w:val="00945F95"/>
    <w:rsid w:val="00961B32"/>
    <w:rsid w:val="00970DB3"/>
    <w:rsid w:val="00974BB0"/>
    <w:rsid w:val="009A0AF3"/>
    <w:rsid w:val="009A5610"/>
    <w:rsid w:val="009B07CD"/>
    <w:rsid w:val="009C19E9"/>
    <w:rsid w:val="009C232A"/>
    <w:rsid w:val="009D3455"/>
    <w:rsid w:val="009D74A6"/>
    <w:rsid w:val="009F22AD"/>
    <w:rsid w:val="00A10F02"/>
    <w:rsid w:val="00A204CA"/>
    <w:rsid w:val="00A53724"/>
    <w:rsid w:val="00A6156E"/>
    <w:rsid w:val="00A82346"/>
    <w:rsid w:val="00A9671C"/>
    <w:rsid w:val="00AA1553"/>
    <w:rsid w:val="00AD3404"/>
    <w:rsid w:val="00AE7AFF"/>
    <w:rsid w:val="00AF5060"/>
    <w:rsid w:val="00B05962"/>
    <w:rsid w:val="00B15449"/>
    <w:rsid w:val="00B27303"/>
    <w:rsid w:val="00B47FD1"/>
    <w:rsid w:val="00B516BB"/>
    <w:rsid w:val="00B56F2D"/>
    <w:rsid w:val="00BA6E1F"/>
    <w:rsid w:val="00BC3555"/>
    <w:rsid w:val="00BE0B5A"/>
    <w:rsid w:val="00BF3EC0"/>
    <w:rsid w:val="00C07CF0"/>
    <w:rsid w:val="00C12B51"/>
    <w:rsid w:val="00C24650"/>
    <w:rsid w:val="00C25465"/>
    <w:rsid w:val="00C33079"/>
    <w:rsid w:val="00C55AEF"/>
    <w:rsid w:val="00C83A0D"/>
    <w:rsid w:val="00C83A13"/>
    <w:rsid w:val="00C9068C"/>
    <w:rsid w:val="00C92967"/>
    <w:rsid w:val="00CA3D0C"/>
    <w:rsid w:val="00CA654B"/>
    <w:rsid w:val="00CB72B8"/>
    <w:rsid w:val="00CD4C7B"/>
    <w:rsid w:val="00CF5303"/>
    <w:rsid w:val="00D12DFA"/>
    <w:rsid w:val="00D201A1"/>
    <w:rsid w:val="00D33BE3"/>
    <w:rsid w:val="00D3792D"/>
    <w:rsid w:val="00D55E47"/>
    <w:rsid w:val="00D62E19"/>
    <w:rsid w:val="00D67CD1"/>
    <w:rsid w:val="00D738D6"/>
    <w:rsid w:val="00D746DD"/>
    <w:rsid w:val="00D80795"/>
    <w:rsid w:val="00D854BE"/>
    <w:rsid w:val="00D87E00"/>
    <w:rsid w:val="00D9134D"/>
    <w:rsid w:val="00D96D11"/>
    <w:rsid w:val="00DA7A03"/>
    <w:rsid w:val="00DB0DB8"/>
    <w:rsid w:val="00DB1818"/>
    <w:rsid w:val="00DB6327"/>
    <w:rsid w:val="00DC309B"/>
    <w:rsid w:val="00DC4DA2"/>
    <w:rsid w:val="00DC58A6"/>
    <w:rsid w:val="00DD1C81"/>
    <w:rsid w:val="00DE34DC"/>
    <w:rsid w:val="00E471CF"/>
    <w:rsid w:val="00E56117"/>
    <w:rsid w:val="00E62835"/>
    <w:rsid w:val="00E77645"/>
    <w:rsid w:val="00E83697"/>
    <w:rsid w:val="00EA486B"/>
    <w:rsid w:val="00EC4A25"/>
    <w:rsid w:val="00EC4D14"/>
    <w:rsid w:val="00ED3E0A"/>
    <w:rsid w:val="00EF0851"/>
    <w:rsid w:val="00F025A2"/>
    <w:rsid w:val="00F07388"/>
    <w:rsid w:val="00F2026E"/>
    <w:rsid w:val="00F2210A"/>
    <w:rsid w:val="00F37743"/>
    <w:rsid w:val="00F5020A"/>
    <w:rsid w:val="00F54A3D"/>
    <w:rsid w:val="00F54CB0"/>
    <w:rsid w:val="00F653B8"/>
    <w:rsid w:val="00F71B89"/>
    <w:rsid w:val="00F7353C"/>
    <w:rsid w:val="00F76F8F"/>
    <w:rsid w:val="00F779F4"/>
    <w:rsid w:val="00F941DF"/>
    <w:rsid w:val="00FA1266"/>
    <w:rsid w:val="00FB36FA"/>
    <w:rsid w:val="00FC1192"/>
    <w:rsid w:val="00FE251B"/>
    <w:rsid w:val="00FE74C8"/>
    <w:rsid w:val="00FF2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07CF0"/>
    <w:pPr>
      <w:ind w:left="720"/>
      <w:contextualSpacing/>
    </w:pPr>
  </w:style>
  <w:style w:type="character" w:styleId="CommentReference">
    <w:name w:val="annotation reference"/>
    <w:basedOn w:val="DefaultParagraphFont"/>
    <w:rsid w:val="008A4C6D"/>
    <w:rPr>
      <w:sz w:val="16"/>
      <w:szCs w:val="16"/>
    </w:rPr>
  </w:style>
  <w:style w:type="paragraph" w:styleId="CommentText">
    <w:name w:val="annotation text"/>
    <w:basedOn w:val="Normal"/>
    <w:link w:val="CommentTextChar"/>
    <w:rsid w:val="008A4C6D"/>
  </w:style>
  <w:style w:type="character" w:customStyle="1" w:styleId="CommentTextChar">
    <w:name w:val="Comment Text Char"/>
    <w:basedOn w:val="DefaultParagraphFont"/>
    <w:link w:val="CommentText"/>
    <w:rsid w:val="008A4C6D"/>
    <w:rPr>
      <w:lang w:eastAsia="en-US"/>
    </w:rPr>
  </w:style>
  <w:style w:type="paragraph" w:styleId="CommentSubject">
    <w:name w:val="annotation subject"/>
    <w:basedOn w:val="CommentText"/>
    <w:next w:val="CommentText"/>
    <w:link w:val="CommentSubjectChar"/>
    <w:rsid w:val="008A4C6D"/>
    <w:rPr>
      <w:b/>
      <w:bCs/>
    </w:rPr>
  </w:style>
  <w:style w:type="character" w:customStyle="1" w:styleId="CommentSubjectChar">
    <w:name w:val="Comment Subject Char"/>
    <w:basedOn w:val="CommentTextChar"/>
    <w:link w:val="CommentSubject"/>
    <w:rsid w:val="008A4C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096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6879216">
      <w:bodyDiv w:val="1"/>
      <w:marLeft w:val="0"/>
      <w:marRight w:val="0"/>
      <w:marTop w:val="0"/>
      <w:marBottom w:val="0"/>
      <w:divBdr>
        <w:top w:val="none" w:sz="0" w:space="0" w:color="auto"/>
        <w:left w:val="none" w:sz="0" w:space="0" w:color="auto"/>
        <w:bottom w:val="none" w:sz="0" w:space="0" w:color="auto"/>
        <w:right w:val="none" w:sz="0" w:space="0" w:color="auto"/>
      </w:divBdr>
    </w:div>
    <w:div w:id="1051540613">
      <w:bodyDiv w:val="1"/>
      <w:marLeft w:val="0"/>
      <w:marRight w:val="0"/>
      <w:marTop w:val="0"/>
      <w:marBottom w:val="0"/>
      <w:divBdr>
        <w:top w:val="none" w:sz="0" w:space="0" w:color="auto"/>
        <w:left w:val="none" w:sz="0" w:space="0" w:color="auto"/>
        <w:bottom w:val="none" w:sz="0" w:space="0" w:color="auto"/>
        <w:right w:val="none" w:sz="0" w:space="0" w:color="auto"/>
      </w:divBdr>
    </w:div>
    <w:div w:id="11634726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8611688">
      <w:bodyDiv w:val="1"/>
      <w:marLeft w:val="0"/>
      <w:marRight w:val="0"/>
      <w:marTop w:val="0"/>
      <w:marBottom w:val="0"/>
      <w:divBdr>
        <w:top w:val="none" w:sz="0" w:space="0" w:color="auto"/>
        <w:left w:val="none" w:sz="0" w:space="0" w:color="auto"/>
        <w:bottom w:val="none" w:sz="0" w:space="0" w:color="auto"/>
        <w:right w:val="none" w:sz="0" w:space="0" w:color="auto"/>
      </w:divBdr>
    </w:div>
    <w:div w:id="201942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5AIRPNAIUNRU-859666464-4009</_dlc_DocId>
    <_dlc_DocIdUrl xmlns="71c5aaf6-e6ce-465b-b873-5148d2a4c105">
      <Url>https://nokia.sharepoint.com/sites/c5g/e2earch/_layouts/15/DocIdRedir.aspx?ID=5AIRPNAIUNRU-859666464-4009</Url>
      <Description>5AIRPNAIUNRU-859666464-4009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83f22d2f-d16e-4be6-ad4f-29fa0b067c3c"/>
    <ds:schemaRef ds:uri="http://schemas.microsoft.com/office/infopath/2007/PartnerControls"/>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DFFE1B-B8A7-4F85-9283-3101A1FB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1560</Words>
  <Characters>8488</Characters>
  <Application>Microsoft Office Word</Application>
  <DocSecurity>0</DocSecurity>
  <Lines>132</Lines>
  <Paragraphs>83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69</cp:revision>
  <dcterms:created xsi:type="dcterms:W3CDTF">2018-10-22T07:18:00Z</dcterms:created>
  <dcterms:modified xsi:type="dcterms:W3CDTF">2018-11-01T18:01:00Z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3f5e0ea3-90ea-4636-bea6-8809dd989da4</vt:lpwstr>
  </property>
</Properties>
</file>